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1C" w:rsidRDefault="00AE341C" w:rsidP="005C3F81">
      <w:pPr>
        <w:pStyle w:val="af2"/>
        <w:jc w:val="both"/>
        <w:rPr>
          <w:rStyle w:val="s2"/>
          <w:rFonts w:ascii="Times New Roman" w:hAnsi="Times New Roman"/>
          <w:b/>
          <w:color w:val="000000"/>
        </w:rPr>
      </w:pPr>
    </w:p>
    <w:p w:rsidR="00630143" w:rsidRDefault="00630143" w:rsidP="00630143">
      <w:pPr>
        <w:pStyle w:val="af2"/>
        <w:rPr>
          <w:rStyle w:val="s2"/>
          <w:rFonts w:ascii="Times New Roman" w:hAnsi="Times New Roman"/>
          <w:b/>
          <w:color w:val="000000"/>
        </w:rPr>
      </w:pPr>
    </w:p>
    <w:p w:rsidR="00630143" w:rsidRDefault="00630143" w:rsidP="00D67795">
      <w:pPr>
        <w:pStyle w:val="af2"/>
        <w:jc w:val="center"/>
        <w:rPr>
          <w:rStyle w:val="s2"/>
          <w:rFonts w:ascii="Times New Roman" w:hAnsi="Times New Roman"/>
          <w:b/>
          <w:color w:val="000000"/>
        </w:rPr>
      </w:pPr>
    </w:p>
    <w:p w:rsidR="00630143" w:rsidRDefault="00630143" w:rsidP="00D67795">
      <w:pPr>
        <w:pStyle w:val="af2"/>
        <w:jc w:val="center"/>
        <w:rPr>
          <w:rStyle w:val="s2"/>
          <w:rFonts w:ascii="Times New Roman" w:hAnsi="Times New Roman"/>
          <w:b/>
          <w:color w:val="000000"/>
        </w:rPr>
      </w:pPr>
    </w:p>
    <w:p w:rsidR="00D67795" w:rsidRDefault="00D67795" w:rsidP="00D67795">
      <w:pPr>
        <w:pStyle w:val="af2"/>
        <w:jc w:val="center"/>
        <w:rPr>
          <w:rStyle w:val="s2"/>
          <w:rFonts w:ascii="Times New Roman" w:hAnsi="Times New Roman"/>
          <w:b/>
          <w:color w:val="000000"/>
        </w:rPr>
      </w:pPr>
      <w:r>
        <w:rPr>
          <w:rStyle w:val="s2"/>
          <w:rFonts w:ascii="Times New Roman" w:hAnsi="Times New Roman"/>
          <w:b/>
          <w:color w:val="000000"/>
        </w:rPr>
        <w:t>ТЕХНИЧЕСКОЕ ЗАДАНИЕ</w:t>
      </w:r>
    </w:p>
    <w:p w:rsidR="00D67795" w:rsidRDefault="00DC45C8" w:rsidP="00D67795">
      <w:pPr>
        <w:pStyle w:val="af2"/>
        <w:jc w:val="center"/>
        <w:rPr>
          <w:rFonts w:ascii="Times New Roman" w:hAnsi="Times New Roman"/>
          <w:b/>
        </w:rPr>
      </w:pPr>
      <w:r>
        <w:rPr>
          <w:rStyle w:val="s2"/>
          <w:rFonts w:ascii="Times New Roman" w:hAnsi="Times New Roman"/>
          <w:b/>
        </w:rPr>
        <w:t xml:space="preserve">на </w:t>
      </w:r>
      <w:r w:rsidR="00D67795" w:rsidRPr="00F071C1">
        <w:rPr>
          <w:rStyle w:val="s2"/>
          <w:rFonts w:ascii="Times New Roman" w:hAnsi="Times New Roman"/>
          <w:b/>
        </w:rPr>
        <w:t>О</w:t>
      </w:r>
      <w:r w:rsidR="00D67795">
        <w:rPr>
          <w:rStyle w:val="s2"/>
          <w:rFonts w:ascii="Times New Roman" w:hAnsi="Times New Roman"/>
          <w:b/>
        </w:rPr>
        <w:t xml:space="preserve">казание услуг </w:t>
      </w:r>
      <w:r w:rsidR="00D67795">
        <w:rPr>
          <w:rFonts w:ascii="Times New Roman" w:hAnsi="Times New Roman"/>
          <w:b/>
        </w:rPr>
        <w:t xml:space="preserve">по </w:t>
      </w:r>
      <w:r w:rsidR="00CE7EF8">
        <w:rPr>
          <w:rFonts w:ascii="Times New Roman" w:hAnsi="Times New Roman"/>
          <w:b/>
        </w:rPr>
        <w:t>проведению пожарно-технического обследования</w:t>
      </w:r>
      <w:r w:rsidR="004731E5">
        <w:rPr>
          <w:rFonts w:ascii="Times New Roman" w:hAnsi="Times New Roman"/>
          <w:b/>
        </w:rPr>
        <w:t xml:space="preserve"> (аудита)</w:t>
      </w:r>
      <w:r w:rsidR="00D67795">
        <w:rPr>
          <w:rFonts w:ascii="Times New Roman" w:hAnsi="Times New Roman"/>
          <w:b/>
        </w:rPr>
        <w:t xml:space="preserve"> </w:t>
      </w:r>
      <w:r w:rsidR="007A1F8A">
        <w:rPr>
          <w:rFonts w:ascii="Times New Roman" w:hAnsi="Times New Roman"/>
          <w:b/>
        </w:rPr>
        <w:t>объектов</w:t>
      </w:r>
      <w:r w:rsidR="00D67795">
        <w:rPr>
          <w:rFonts w:ascii="Times New Roman" w:hAnsi="Times New Roman"/>
          <w:b/>
        </w:rPr>
        <w:t xml:space="preserve"> </w:t>
      </w:r>
      <w:r w:rsidR="00C41911">
        <w:rPr>
          <w:rFonts w:ascii="Times New Roman" w:hAnsi="Times New Roman"/>
          <w:b/>
        </w:rPr>
        <w:t xml:space="preserve">Публичного Акционерного Общества (ПАО) «ТНС </w:t>
      </w:r>
      <w:proofErr w:type="spellStart"/>
      <w:r w:rsidR="00C41911">
        <w:rPr>
          <w:rFonts w:ascii="Times New Roman" w:hAnsi="Times New Roman"/>
          <w:b/>
        </w:rPr>
        <w:t>энерго</w:t>
      </w:r>
      <w:proofErr w:type="spellEnd"/>
      <w:r w:rsidR="00C41911">
        <w:rPr>
          <w:rFonts w:ascii="Times New Roman" w:hAnsi="Times New Roman"/>
          <w:b/>
        </w:rPr>
        <w:t xml:space="preserve"> Ярославль»</w:t>
      </w:r>
    </w:p>
    <w:p w:rsidR="00D67795" w:rsidRPr="000220D7" w:rsidRDefault="00D67795" w:rsidP="00D67795">
      <w:pPr>
        <w:pStyle w:val="af2"/>
        <w:jc w:val="center"/>
        <w:rPr>
          <w:rFonts w:ascii="Times New Roman" w:hAnsi="Times New Roman"/>
          <w:b/>
        </w:rPr>
      </w:pPr>
    </w:p>
    <w:p w:rsidR="00121D91" w:rsidRDefault="00121D91" w:rsidP="00AE341C">
      <w:pPr>
        <w:jc w:val="both"/>
        <w:rPr>
          <w:sz w:val="18"/>
          <w:szCs w:val="18"/>
        </w:rPr>
      </w:pPr>
    </w:p>
    <w:tbl>
      <w:tblPr>
        <w:tblW w:w="10038" w:type="dxa"/>
        <w:tblInd w:w="299" w:type="dxa"/>
        <w:tblCellMar>
          <w:left w:w="83" w:type="dxa"/>
        </w:tblCellMar>
        <w:tblLook w:val="00A0" w:firstRow="1" w:lastRow="0" w:firstColumn="1" w:lastColumn="0" w:noHBand="0" w:noVBand="0"/>
      </w:tblPr>
      <w:tblGrid>
        <w:gridCol w:w="668"/>
        <w:gridCol w:w="3815"/>
        <w:gridCol w:w="5555"/>
      </w:tblGrid>
      <w:tr w:rsidR="00121D91">
        <w:trPr>
          <w:trHeight w:val="603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1D91" w:rsidRDefault="00DC7E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121D91" w:rsidRDefault="00DC7E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1D91" w:rsidRDefault="00DC7E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основных данных и требований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1D91" w:rsidRDefault="00DC7E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Основные данные и требования</w:t>
            </w:r>
          </w:p>
        </w:tc>
      </w:tr>
      <w:tr w:rsidR="00121D91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Заказчик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914FBA" w:rsidP="00914FB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«ТНС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 xml:space="preserve"> Ярославль»</w:t>
            </w:r>
          </w:p>
        </w:tc>
      </w:tr>
      <w:tr w:rsidR="00121D91" w:rsidRPr="00E75561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Адрес заказчика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Default="00914FB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150003 г. Ярославль пр-т Ленина, д.21б</w:t>
            </w:r>
          </w:p>
          <w:p w:rsidR="00F800A6" w:rsidRPr="00914FBA" w:rsidRDefault="00F800A6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914FBA">
              <w:rPr>
                <w:sz w:val="22"/>
                <w:szCs w:val="22"/>
                <w:lang w:val="en-US"/>
              </w:rPr>
              <w:t>.:+7(</w:t>
            </w:r>
            <w:r w:rsidR="00914FBA" w:rsidRPr="00914FBA">
              <w:rPr>
                <w:sz w:val="22"/>
                <w:szCs w:val="22"/>
                <w:lang w:val="en-US"/>
              </w:rPr>
              <w:t>4852</w:t>
            </w:r>
            <w:r w:rsidRPr="00914FBA">
              <w:rPr>
                <w:sz w:val="22"/>
                <w:szCs w:val="22"/>
                <w:lang w:val="en-US"/>
              </w:rPr>
              <w:t>)</w:t>
            </w:r>
            <w:r w:rsidR="00914FBA" w:rsidRPr="00914FBA">
              <w:rPr>
                <w:sz w:val="22"/>
                <w:szCs w:val="22"/>
                <w:lang w:val="en-US"/>
              </w:rPr>
              <w:t xml:space="preserve"> 781909</w:t>
            </w:r>
          </w:p>
          <w:p w:rsidR="00F800A6" w:rsidRPr="00914FBA" w:rsidRDefault="00F800A6" w:rsidP="00914FB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  <w:r w:rsidRPr="00914FBA">
              <w:rPr>
                <w:sz w:val="22"/>
                <w:szCs w:val="22"/>
                <w:lang w:val="en-US"/>
              </w:rPr>
              <w:t xml:space="preserve">: </w:t>
            </w:r>
            <w:r w:rsidR="00914FBA">
              <w:rPr>
                <w:sz w:val="22"/>
                <w:szCs w:val="22"/>
                <w:lang w:val="en-US"/>
              </w:rPr>
              <w:t>engsbyt</w:t>
            </w:r>
            <w:r w:rsidRPr="00914FBA">
              <w:rPr>
                <w:sz w:val="22"/>
                <w:szCs w:val="22"/>
                <w:lang w:val="en-US"/>
              </w:rPr>
              <w:t>@</w:t>
            </w:r>
            <w:r w:rsidR="00914FBA">
              <w:rPr>
                <w:sz w:val="22"/>
                <w:szCs w:val="22"/>
                <w:lang w:val="en-US"/>
              </w:rPr>
              <w:t>yar.tns-e.ru</w:t>
            </w:r>
          </w:p>
        </w:tc>
      </w:tr>
      <w:tr w:rsidR="00121D91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 г. Ярославль, пр-т Ленина, д.21б</w:t>
            </w:r>
          </w:p>
          <w:p w:rsid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 г. Ярославль, ул. Салтыкова-Щедрина, д.42</w:t>
            </w:r>
          </w:p>
          <w:p w:rsidR="008252C6" w:rsidRDefault="008252C6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-г. Ярославль, ул. Слепнева, д.37</w:t>
            </w:r>
          </w:p>
          <w:p w:rsidR="008252C6" w:rsidRDefault="008252C6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-г. Ярославль, Ленинградский пр-т, д.52</w:t>
            </w:r>
          </w:p>
          <w:p w:rsidR="008252C6" w:rsidRDefault="008252C6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г. Ярославль,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пр-зд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Доброхотова, д.3</w:t>
            </w:r>
          </w:p>
          <w:p w:rsidR="008252C6" w:rsidRPr="005A158F" w:rsidRDefault="008252C6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г. Ярославль, пр-т Ленина, д.19</w:t>
            </w:r>
          </w:p>
          <w:p w:rsidR="005A158F" w:rsidRP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 ЯО, г. Рыбинск, ул. Луначарского, д.21а</w:t>
            </w:r>
          </w:p>
          <w:p w:rsid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ЯО, г. Рыбинск,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Румянцевская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д.36</w:t>
            </w:r>
          </w:p>
          <w:p w:rsidR="005A158F" w:rsidRP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-ЯО, г. Ростов Великий, ул. Спартаковская, д.138</w:t>
            </w:r>
          </w:p>
          <w:p w:rsidR="005A158F" w:rsidRDefault="005A158F" w:rsidP="00914FBA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Переславль-Залесский, Кривоколенный пер.16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Гаврилов-Ям, ул. Советская, д.5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пос. Борисоглебский, ул. Допризывная, д. 10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пос. Некрасовское, ул. Гагарина, д. 4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Любим,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Даниловская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34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пос. Пречистое,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ул.Ярославская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48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Данилов,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ул.Петербургская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23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Пошехонье,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. Мало-Ярославская,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3а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ЯО,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Брейтово,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Республиканская,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ЯО,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Новый Некоуз,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ул. 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Юбилейная,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Мышкин,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1789C">
              <w:rPr>
                <w:rFonts w:ascii="Times New Roman" w:hAnsi="Times New Roman" w:cs="Times New Roman"/>
                <w:sz w:val="22"/>
                <w:szCs w:val="22"/>
              </w:rPr>
              <w:t>Мологская</w:t>
            </w:r>
            <w:proofErr w:type="spellEnd"/>
            <w:r w:rsidR="00D178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53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Углич,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Ростовская,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8а</w:t>
            </w:r>
          </w:p>
          <w:p w:rsidR="005A158F" w:rsidRDefault="005A158F" w:rsidP="005A158F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Тутаев,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>. Соборная,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="00D1789C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  <w:p w:rsidR="005A158F" w:rsidRPr="00914FBA" w:rsidRDefault="00D1789C" w:rsidP="00D1789C">
            <w:pPr>
              <w:pStyle w:val="af2"/>
              <w:contextualSpacing/>
              <w:jc w:val="both"/>
              <w:rPr>
                <w:sz w:val="22"/>
                <w:szCs w:val="22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с. Большое Село, ул. 3-я Строителей, д. 2</w:t>
            </w:r>
          </w:p>
        </w:tc>
      </w:tr>
      <w:tr w:rsidR="00121D91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882CA7" w:rsidP="00D1789C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 xml:space="preserve">Оказание услуг по проведению </w:t>
            </w:r>
            <w:r w:rsidR="00CE7EF8">
              <w:rPr>
                <w:sz w:val="22"/>
                <w:szCs w:val="22"/>
              </w:rPr>
              <w:t xml:space="preserve">пожарно-технического обследования </w:t>
            </w:r>
            <w:r w:rsidR="004731E5">
              <w:rPr>
                <w:sz w:val="22"/>
                <w:szCs w:val="22"/>
              </w:rPr>
              <w:t>(аудита)</w:t>
            </w:r>
            <w:r w:rsidRPr="00234D96">
              <w:rPr>
                <w:sz w:val="22"/>
                <w:szCs w:val="22"/>
              </w:rPr>
              <w:t xml:space="preserve"> </w:t>
            </w:r>
            <w:r w:rsidR="007A1F8A">
              <w:rPr>
                <w:sz w:val="22"/>
                <w:szCs w:val="22"/>
              </w:rPr>
              <w:t>объектов</w:t>
            </w:r>
            <w:r w:rsidRPr="00234D96">
              <w:rPr>
                <w:sz w:val="22"/>
                <w:szCs w:val="22"/>
              </w:rPr>
              <w:t xml:space="preserve"> </w:t>
            </w:r>
            <w:r w:rsidR="00D1789C">
              <w:rPr>
                <w:sz w:val="22"/>
                <w:szCs w:val="22"/>
              </w:rPr>
              <w:t xml:space="preserve">ПАО «ТНС </w:t>
            </w:r>
            <w:proofErr w:type="spellStart"/>
            <w:r w:rsidR="00D1789C">
              <w:rPr>
                <w:sz w:val="22"/>
                <w:szCs w:val="22"/>
              </w:rPr>
              <w:t>энерго</w:t>
            </w:r>
            <w:proofErr w:type="spellEnd"/>
            <w:r w:rsidR="00D1789C">
              <w:rPr>
                <w:sz w:val="22"/>
                <w:szCs w:val="22"/>
              </w:rPr>
              <w:t xml:space="preserve"> Ярославль»</w:t>
            </w:r>
          </w:p>
        </w:tc>
      </w:tr>
      <w:tr w:rsidR="00672FF3" w:rsidTr="005936B5">
        <w:trPr>
          <w:trHeight w:val="557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2FF3" w:rsidRPr="00234D96" w:rsidRDefault="00CB0D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2FF3" w:rsidRPr="00234D96" w:rsidRDefault="000B517A" w:rsidP="00CB0D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</w:t>
            </w:r>
            <w:r w:rsidR="00CB0D6A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656" w:rsidRPr="00832656" w:rsidRDefault="00832656" w:rsidP="00832656">
            <w:pPr>
              <w:suppressAutoHyphens w:val="0"/>
              <w:snapToGrid w:val="0"/>
              <w:ind w:left="11" w:firstLine="556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832656">
              <w:rPr>
                <w:color w:val="auto"/>
                <w:sz w:val="22"/>
                <w:szCs w:val="22"/>
              </w:rPr>
              <w:t xml:space="preserve">- Обследование объекта: объемно-планировочные и конструктивные решения; состояние эвакуационных путей и выходов; проверка противопожарного режима в организации. </w:t>
            </w:r>
          </w:p>
          <w:p w:rsidR="00832656" w:rsidRPr="00832656" w:rsidRDefault="00832656" w:rsidP="00832656">
            <w:pPr>
              <w:suppressAutoHyphens w:val="0"/>
              <w:snapToGrid w:val="0"/>
              <w:ind w:left="11" w:firstLine="556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832656">
              <w:rPr>
                <w:color w:val="auto"/>
                <w:sz w:val="22"/>
                <w:szCs w:val="22"/>
              </w:rPr>
              <w:t>- Вывод о соблюдении требований нормативных документов в области пожарной безопасности, противопожарного режима либо в случае их невыполнения и (или) несоблюдения разработку мер по обеспечению выполнения условий, при которых объект защиты будет соответствовать требованиям пожарной безопасности, и (или) подготовку перечня требований пожарной безопасности, при выполнении которых обеспечивается соблюдение противопожарного режима на объекте защиты.</w:t>
            </w:r>
          </w:p>
          <w:p w:rsidR="00672FF3" w:rsidRPr="00234D96" w:rsidRDefault="00832656" w:rsidP="00832656">
            <w:pPr>
              <w:pStyle w:val="ac"/>
              <w:snapToGrid w:val="0"/>
              <w:ind w:left="11" w:firstLine="556"/>
              <w:jc w:val="both"/>
              <w:rPr>
                <w:sz w:val="22"/>
                <w:szCs w:val="22"/>
              </w:rPr>
            </w:pPr>
            <w:r w:rsidRPr="00832656">
              <w:rPr>
                <w:color w:val="auto"/>
                <w:sz w:val="22"/>
                <w:szCs w:val="22"/>
              </w:rPr>
              <w:t>- Результаты проведения пожарно-технического обследования (аудита) оформляются в виде отчета (далее - отчет), направляемого (вручаемого) заказчику на бумажном носителе и в форме электронного документа.</w:t>
            </w:r>
          </w:p>
        </w:tc>
      </w:tr>
      <w:tr w:rsidR="00121D91" w:rsidTr="005936B5">
        <w:trPr>
          <w:trHeight w:val="83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CB0D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Основание для оказания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Исполнение требований Федерального Закона N 123-ФЗ от 22 июля 2008 года «Технический регламент о требованиях пожарной безопасности».</w:t>
            </w:r>
          </w:p>
        </w:tc>
      </w:tr>
      <w:tr w:rsidR="00474126" w:rsidTr="005936B5">
        <w:trPr>
          <w:trHeight w:val="567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4126" w:rsidRPr="00234D96" w:rsidRDefault="00CB0D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4126" w:rsidRPr="00234D96" w:rsidRDefault="00474126" w:rsidP="00882CA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оказания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4126" w:rsidRPr="00234D96" w:rsidRDefault="00F11CEB" w:rsidP="00BA661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Оценка уровня пожарной безопасности объектов Заказчика</w:t>
            </w:r>
            <w:r w:rsidR="00C301FC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121D91" w:rsidTr="005936B5">
        <w:trPr>
          <w:trHeight w:val="40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 w:rsidP="00882CA7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 xml:space="preserve">Сроки </w:t>
            </w:r>
            <w:r w:rsidR="00882CA7" w:rsidRPr="00234D96">
              <w:rPr>
                <w:sz w:val="22"/>
                <w:szCs w:val="22"/>
              </w:rPr>
              <w:t>оказания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922E95" w:rsidP="00922E95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60 календарных дней с момента заключения договора</w:t>
            </w:r>
          </w:p>
        </w:tc>
      </w:tr>
      <w:tr w:rsidR="00121D91">
        <w:trPr>
          <w:trHeight w:val="421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 w:rsidP="00BA661C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Режим работы объект</w:t>
            </w:r>
            <w:r w:rsidR="00BA661C">
              <w:rPr>
                <w:sz w:val="22"/>
                <w:szCs w:val="22"/>
              </w:rPr>
              <w:t>ов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Default="005936B5" w:rsidP="005936B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C7E9B" w:rsidRPr="00234D96">
              <w:rPr>
                <w:sz w:val="22"/>
                <w:szCs w:val="22"/>
              </w:rPr>
              <w:t xml:space="preserve"> понедельника по </w:t>
            </w:r>
            <w:r>
              <w:rPr>
                <w:sz w:val="22"/>
                <w:szCs w:val="22"/>
              </w:rPr>
              <w:t>четверг</w:t>
            </w:r>
            <w:r w:rsidR="00DC7E9B" w:rsidRPr="00234D96">
              <w:rPr>
                <w:sz w:val="22"/>
                <w:szCs w:val="22"/>
              </w:rPr>
              <w:t>: с 0</w:t>
            </w:r>
            <w:r>
              <w:rPr>
                <w:sz w:val="22"/>
                <w:szCs w:val="22"/>
              </w:rPr>
              <w:t>8</w:t>
            </w:r>
            <w:r w:rsidR="00DC7E9B" w:rsidRPr="00234D96">
              <w:rPr>
                <w:sz w:val="22"/>
                <w:szCs w:val="22"/>
              </w:rPr>
              <w:t>-00 до 1</w:t>
            </w:r>
            <w:r>
              <w:rPr>
                <w:sz w:val="22"/>
                <w:szCs w:val="22"/>
              </w:rPr>
              <w:t>7</w:t>
            </w:r>
            <w:r w:rsidR="00AB653D" w:rsidRPr="00234D96">
              <w:rPr>
                <w:sz w:val="22"/>
                <w:szCs w:val="22"/>
              </w:rPr>
              <w:t xml:space="preserve">-00 часов </w:t>
            </w:r>
            <w:r>
              <w:rPr>
                <w:sz w:val="22"/>
                <w:szCs w:val="22"/>
              </w:rPr>
              <w:t>(время местное)</w:t>
            </w:r>
          </w:p>
          <w:p w:rsidR="005936B5" w:rsidRDefault="005936B5" w:rsidP="005936B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пятница:</w:t>
            </w:r>
            <w:r w:rsidR="0028504C" w:rsidRPr="006301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08-00 до 16-00</w:t>
            </w:r>
          </w:p>
          <w:p w:rsidR="005936B5" w:rsidRDefault="005936B5" w:rsidP="005936B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суббота,</w:t>
            </w:r>
            <w:r w:rsidR="0028504C" w:rsidRPr="006301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воскресенье, праздничные дни: выходные</w:t>
            </w:r>
          </w:p>
          <w:p w:rsidR="005C3F81" w:rsidRPr="005C3F81" w:rsidRDefault="005C3F81" w:rsidP="005936B5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обед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12-30</w:t>
            </w:r>
            <w:r>
              <w:rPr>
                <w:sz w:val="22"/>
                <w:szCs w:val="22"/>
              </w:rPr>
              <w:t xml:space="preserve"> до 13-18</w:t>
            </w:r>
          </w:p>
        </w:tc>
      </w:tr>
      <w:tr w:rsidR="00121D91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 w:rsidP="008D0760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Исходные данные объект</w:t>
            </w:r>
            <w:r w:rsidR="008D0760">
              <w:rPr>
                <w:sz w:val="22"/>
                <w:szCs w:val="22"/>
              </w:rPr>
              <w:t>ов</w:t>
            </w:r>
            <w:r w:rsidRPr="00234D96">
              <w:rPr>
                <w:sz w:val="22"/>
                <w:szCs w:val="22"/>
              </w:rPr>
              <w:t>, в отношении котор</w:t>
            </w:r>
            <w:r w:rsidR="008D0760">
              <w:rPr>
                <w:sz w:val="22"/>
                <w:szCs w:val="22"/>
              </w:rPr>
              <w:t xml:space="preserve">ых </w:t>
            </w:r>
            <w:r w:rsidRPr="00234D96">
              <w:rPr>
                <w:sz w:val="22"/>
                <w:szCs w:val="22"/>
              </w:rPr>
              <w:t xml:space="preserve">необходимо провести </w:t>
            </w:r>
            <w:r w:rsidR="00662CB2">
              <w:rPr>
                <w:sz w:val="22"/>
                <w:szCs w:val="22"/>
              </w:rPr>
              <w:t>расчет</w:t>
            </w:r>
            <w:r w:rsidRPr="00234D96">
              <w:rPr>
                <w:sz w:val="22"/>
                <w:szCs w:val="22"/>
              </w:rPr>
              <w:t xml:space="preserve"> пожарного риска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7811" w:rsidRPr="00234D96" w:rsidRDefault="005C3F8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г. Ярославль, пр-т Ленина, д.21б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867811">
              <w:rPr>
                <w:rFonts w:ascii="Times New Roman" w:hAnsi="Times New Roman" w:cs="Times New Roman"/>
                <w:sz w:val="22"/>
                <w:szCs w:val="22"/>
              </w:rPr>
              <w:t xml:space="preserve">1939 </w:t>
            </w:r>
            <w:proofErr w:type="spellStart"/>
            <w:r w:rsidR="00867811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678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67811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867811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 г. Ярославль, ул. Салтыкова-Щедрина, д.42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-1534,10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 xml:space="preserve"> этажность – 3,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28504C" w:rsidRPr="00234D96" w:rsidRDefault="008252C6" w:rsidP="0028504C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-г. Ярославль, ул. Слепнева, д.37- 94,6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28504C" w:rsidRPr="002850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8504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28504C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28504C" w:rsidRPr="00234D96" w:rsidRDefault="008252C6" w:rsidP="0028504C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-г. Ярославль, Ленинградский пр-т, д.52</w:t>
            </w:r>
            <w:r w:rsidR="002850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504C" w:rsidRPr="0028504C">
              <w:rPr>
                <w:rFonts w:ascii="Times New Roman" w:hAnsi="Times New Roman" w:cs="Times New Roman"/>
                <w:sz w:val="22"/>
                <w:szCs w:val="22"/>
              </w:rPr>
              <w:t xml:space="preserve"> 80</w:t>
            </w:r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,2 </w:t>
            </w:r>
            <w:proofErr w:type="spellStart"/>
            <w:r w:rsidR="0028504C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,  , </w:t>
            </w:r>
            <w:r w:rsidR="0028504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28504C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252C6" w:rsidRDefault="008252C6" w:rsidP="008252C6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г. Ярославль,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пр-зд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Доброхотова, д.3</w:t>
            </w:r>
            <w:r w:rsidR="008B4F6B">
              <w:rPr>
                <w:rFonts w:ascii="Times New Roman" w:hAnsi="Times New Roman" w:cs="Times New Roman"/>
                <w:sz w:val="22"/>
                <w:szCs w:val="22"/>
              </w:rPr>
              <w:t xml:space="preserve">-114,6 </w:t>
            </w:r>
            <w:proofErr w:type="spellStart"/>
            <w:r w:rsidR="008B4F6B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="0028504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="0028504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28504C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28504C" w:rsidRDefault="008252C6" w:rsidP="0028504C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г. Ярославль, пр-т Ленина, д.19</w:t>
            </w:r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 -50,0 </w:t>
            </w:r>
            <w:proofErr w:type="spellStart"/>
            <w:r w:rsidR="0028504C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28504C">
              <w:rPr>
                <w:rFonts w:ascii="Times New Roman" w:hAnsi="Times New Roman" w:cs="Times New Roman"/>
                <w:sz w:val="22"/>
                <w:szCs w:val="22"/>
              </w:rPr>
              <w:t xml:space="preserve">, , </w:t>
            </w:r>
            <w:r w:rsidR="0028504C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28504C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28504C" w:rsidRPr="00234D96" w:rsidRDefault="0028504C" w:rsidP="0028504C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 ЯО, г. Рыбинск, ул. Луначарского, д.21а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-670,80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ЯО, г. Рыбинск,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Румянцевская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д.36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 xml:space="preserve"> – 623,30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, 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5A158F" w:rsidRDefault="00867811" w:rsidP="00867811">
            <w:pPr>
              <w:pStyle w:val="af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-ЯО, г. Ростов Великий, ул. Спартаковская, д.138 –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 xml:space="preserve">1543,70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, 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Переславль-Залесский, Кривоколенный пер.16-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 xml:space="preserve"> 570,80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, 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Гаврилов-Ям, ул. Советская, д.5- 577,60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пос. Борисоглебский, ул. Допризывная, д. 10- 755,50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67811" w:rsidRPr="00234D96" w:rsidRDefault="00867811" w:rsidP="00867811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пос. Некрасовское, ул. Гагарина, д. 4- 497,00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Любим,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Даниловская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34- 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199,30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пос. Пречистое,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ул.Ярославская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48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- 126,90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–1,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ЯО, г. Данилов,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ул.Петербургская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23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- 204,70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Пошехонье, ул. Мало-Ярославская, д.3а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- 164,30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с. Брейтово, ул. Республиканская, д.34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- 122,90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с. Новый Некоуз, ул. Юбилейная, д. 20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- 250,10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 xml:space="preserve"> этажность – 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00E58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7811"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67811">
              <w:rPr>
                <w:rFonts w:ascii="Times New Roman" w:hAnsi="Times New Roman" w:cs="Times New Roman"/>
                <w:sz w:val="22"/>
                <w:szCs w:val="22"/>
              </w:rPr>
              <w:t xml:space="preserve">ЯО, г. Мышкин, ул. </w:t>
            </w:r>
            <w:proofErr w:type="spellStart"/>
            <w:r w:rsidR="00867811">
              <w:rPr>
                <w:rFonts w:ascii="Times New Roman" w:hAnsi="Times New Roman" w:cs="Times New Roman"/>
                <w:sz w:val="22"/>
                <w:szCs w:val="22"/>
              </w:rPr>
              <w:t>Мологская</w:t>
            </w:r>
            <w:proofErr w:type="spellEnd"/>
            <w:r w:rsidR="00867811">
              <w:rPr>
                <w:rFonts w:ascii="Times New Roman" w:hAnsi="Times New Roman" w:cs="Times New Roman"/>
                <w:sz w:val="22"/>
                <w:szCs w:val="22"/>
              </w:rPr>
              <w:t>, д. 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- 368,50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Углич, ул. Ростовская, д. 8а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-377,00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г. Тутаев, ул. Соборная, д. 45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- 224,90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–2,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800E58" w:rsidRPr="00234D96" w:rsidRDefault="00867811" w:rsidP="00800E58">
            <w:pPr>
              <w:pStyle w:val="af2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</w:pPr>
            <w:r w:rsidRPr="005A15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ЯО, с. Большое Село, ул. 3-я Строителей, д. 2</w:t>
            </w:r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- 154,30 </w:t>
            </w:r>
            <w:proofErr w:type="spellStart"/>
            <w:r w:rsidR="00800E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="00800E58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="00800E5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этажность – 1, назначение – офисные помещения</w:t>
            </w:r>
            <w:r w:rsidR="00800E58" w:rsidRPr="00234D96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eastAsia="ru-RU"/>
              </w:rPr>
              <w:t>;</w:t>
            </w:r>
          </w:p>
          <w:p w:rsidR="00121D91" w:rsidRPr="00234D96" w:rsidRDefault="00DC7E9B">
            <w:pPr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lastRenderedPageBreak/>
              <w:t xml:space="preserve">Исходные данные, необходимые Исполнителю для оказания услуг, предоставляются Заказчиком в течении </w:t>
            </w:r>
            <w:r w:rsidR="00D0471C" w:rsidRPr="00234D96">
              <w:rPr>
                <w:sz w:val="22"/>
                <w:szCs w:val="22"/>
              </w:rPr>
              <w:t>10</w:t>
            </w:r>
            <w:r w:rsidRPr="00234D96">
              <w:rPr>
                <w:sz w:val="22"/>
                <w:szCs w:val="22"/>
              </w:rPr>
              <w:t xml:space="preserve"> дней с даты заключения </w:t>
            </w:r>
            <w:r w:rsidR="0092486D" w:rsidRPr="00234D96">
              <w:rPr>
                <w:sz w:val="22"/>
                <w:szCs w:val="22"/>
              </w:rPr>
              <w:t>договора</w:t>
            </w:r>
            <w:r w:rsidR="00D0471C" w:rsidRPr="00234D96">
              <w:rPr>
                <w:sz w:val="22"/>
                <w:szCs w:val="22"/>
              </w:rPr>
              <w:t>.</w:t>
            </w:r>
          </w:p>
          <w:p w:rsidR="00121D91" w:rsidRPr="00234D96" w:rsidRDefault="00121D91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21D91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234D96" w:rsidRDefault="00DC7E9B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Требование к оказанию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 xml:space="preserve">          Услуги должны быть оказаны в соответствии с требованиями следующих нормативных документов: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Федеральный закон от 22.07.2008 N 123-ФЗ «Технический регламент о требованиях пожарной безопасности»;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Федеральный закон от 30 декабря 2009 г. N 384-ФЗ «Технический регламент о безопасности зданий и сооружений»;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Федеральный закон от 21.12.1994 N 69-ФЗ «О пожарной безопасности»;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1.13130.2020 Системы противопожарной защиты. Эвакуационные пути и выходы;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3.13130.2009 Системы противопожарной защиты. Система оповещения и управления эвакуацией людей при пожаре. Требования пожарной безопасности;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485.1311500.2020 «Системы противопожарной защиты. Установки пожаротушения автоматические. Нормы и правила проектирования»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 xml:space="preserve">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Нормы и правила проектирования» 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7.13130.2013 Отопление, вентиляция и кондиционирование. Требования пожарной безопасности;</w:t>
            </w:r>
          </w:p>
          <w:p w:rsidR="00B47328" w:rsidRPr="00B47328" w:rsidRDefault="00B47328" w:rsidP="00B47328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СП 12.13130.2009 Определение категорий помещений, зданий и наружных установок по взрывопожарной и пожарной опасности;</w:t>
            </w:r>
          </w:p>
          <w:p w:rsidR="00121D91" w:rsidRPr="00234D96" w:rsidRDefault="00B47328" w:rsidP="0028504C">
            <w:pPr>
              <w:pStyle w:val="a8"/>
              <w:widowControl w:val="0"/>
              <w:suppressLineNumbers/>
              <w:shd w:val="clear" w:color="auto" w:fill="FFFFFF"/>
              <w:spacing w:after="0" w:line="240" w:lineRule="auto"/>
              <w:jc w:val="both"/>
              <w:rPr>
                <w:sz w:val="22"/>
                <w:szCs w:val="22"/>
              </w:rPr>
            </w:pPr>
            <w:r w:rsidRPr="00B47328">
              <w:rPr>
                <w:sz w:val="22"/>
                <w:szCs w:val="22"/>
              </w:rPr>
              <w:t>Правила противопожарного режима в Российской Федерации, утвержденные постановлением Правительства Российской Федерации от 16 сентября 2020 г. N 1479.</w:t>
            </w:r>
          </w:p>
        </w:tc>
      </w:tr>
      <w:tr w:rsidR="00F4028E">
        <w:trPr>
          <w:trHeight w:val="55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028E" w:rsidRDefault="00234D9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028E" w:rsidRDefault="00750E39" w:rsidP="00516D18">
            <w:pPr>
              <w:widowControl w:val="0"/>
              <w:rPr>
                <w:sz w:val="18"/>
                <w:szCs w:val="18"/>
              </w:rPr>
            </w:pPr>
            <w:r w:rsidRPr="00CB0D6A">
              <w:rPr>
                <w:sz w:val="22"/>
                <w:szCs w:val="22"/>
              </w:rPr>
              <w:t>Оказание услуг включает следующие мероприятия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7328" w:rsidRPr="00B47328" w:rsidRDefault="00B47328" w:rsidP="00B47328">
            <w:pPr>
              <w:suppressAutoHyphens w:val="0"/>
              <w:ind w:firstLine="56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47328">
              <w:rPr>
                <w:color w:val="auto"/>
                <w:sz w:val="22"/>
                <w:szCs w:val="22"/>
              </w:rPr>
              <w:t>- Анализ документов, характеризующих пожарную опасность объекта защиты;</w:t>
            </w:r>
          </w:p>
          <w:p w:rsidR="00B47328" w:rsidRPr="00B47328" w:rsidRDefault="00B47328" w:rsidP="00B47328">
            <w:pPr>
              <w:suppressAutoHyphens w:val="0"/>
              <w:ind w:firstLine="56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47328">
              <w:rPr>
                <w:iCs/>
                <w:color w:val="auto"/>
                <w:sz w:val="22"/>
                <w:szCs w:val="22"/>
              </w:rPr>
              <w:t xml:space="preserve">- </w:t>
            </w:r>
            <w:r w:rsidRPr="00B47328">
              <w:rPr>
                <w:color w:val="auto"/>
                <w:sz w:val="22"/>
                <w:szCs w:val="22"/>
              </w:rPr>
              <w:t>Обследование объекта защиты для получения объективной информации о состоянии пожарной безопасности объекта защиты и соблюдении противопожарного режима, выявления возможности возникновения и развития пожара и воздействия на людей и материальные ценности опасных факторов пожара, а также для определения наличия условий соответствия объекта защиты требованиям пожарной безопасности, в том числе для проверки исправности и работоспособности имеющихся на объекте защиты систем противопожарной защиты;</w:t>
            </w:r>
          </w:p>
          <w:p w:rsidR="004731E5" w:rsidRPr="000B517A" w:rsidRDefault="00B47328" w:rsidP="00B47328">
            <w:pPr>
              <w:suppressAutoHyphens w:val="0"/>
              <w:ind w:firstLine="567"/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B47328">
              <w:rPr>
                <w:color w:val="auto"/>
                <w:sz w:val="22"/>
                <w:szCs w:val="22"/>
              </w:rPr>
              <w:t>- Подготовка вывода о выполнении требований пожарной безопасности и соблюдении противопожарного режима либо в случае их невыполнения и (или) несоблю</w:t>
            </w:r>
            <w:r w:rsidRPr="00B47328">
              <w:rPr>
                <w:color w:val="auto"/>
                <w:sz w:val="22"/>
                <w:szCs w:val="22"/>
              </w:rPr>
              <w:lastRenderedPageBreak/>
              <w:t>дения разработку мер по обеспечению выполнения условий, при которых объект защиты (продукция) будет соответствовать требованиям пожарной безопасности, и (или) подготовку перечня требований пожарной безопасности, при выполнении которых обеспечивается соблюдение противопожарного режима на объекте защиты (продукции).</w:t>
            </w:r>
          </w:p>
        </w:tc>
      </w:tr>
      <w:tr w:rsidR="00234D96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4D96" w:rsidRDefault="00E57BAE" w:rsidP="00234D9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4D96" w:rsidRPr="002946F9" w:rsidRDefault="00313945" w:rsidP="00234D96">
            <w:r>
              <w:rPr>
                <w:sz w:val="22"/>
                <w:szCs w:val="22"/>
              </w:rPr>
              <w:t>Правила оформления заключения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Результаты проведения пожарно-технического обследования (аудита) оформляются в виде отчета, направляемого (вручаемого) заказчику на бумажном носителе и в форме электронного документа.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Заключение, созданное в форме электронного документа, направляется заказчику на адрес электронной почты, указанный в договоре, или иным способом в порядке, подтверждающим факт направления заключения.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В отчете указываются: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а) наименование и адрес организации, осуществлявшей обследование объектов Заказчика;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б) дата и номер договора, в соответствии с которым проведено обследование;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в) описание объекта защиты (продукции), в отношении которого проводилось пожарно-техническое обследование (аудита);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г) фамилия, имя и отчество (при наличии) специалиста, участвовавшего (участвовавших) в проведении пожарно-технического обследования (аудита);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д) результаты проведения пожарно-технического обследования (аудита), в том числе результаты оказания услуг;</w:t>
            </w:r>
          </w:p>
          <w:p w:rsidR="00B47328" w:rsidRPr="00B47328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е) вывод о выполнении требований пожарной безопасности и соблюдении противопожарного режима, а в случае их невыполнения и (или) несоблюдения - рекомендации о принятии мер и (или) выполнении требований.</w:t>
            </w:r>
          </w:p>
          <w:p w:rsidR="005641E9" w:rsidRPr="005641E9" w:rsidRDefault="00B47328" w:rsidP="00B47328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B47328">
              <w:rPr>
                <w:iCs/>
                <w:sz w:val="22"/>
                <w:szCs w:val="22"/>
              </w:rPr>
              <w:t>Отчет подписывается специалистом, проводившем обследование, утверждается руководителем и скрепляется печатью.</w:t>
            </w:r>
          </w:p>
        </w:tc>
      </w:tr>
      <w:tr w:rsidR="00234D96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4D96" w:rsidRDefault="00E57BAE" w:rsidP="00234D9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4D96" w:rsidRPr="002946F9" w:rsidRDefault="00234D96" w:rsidP="00234D96">
            <w:r w:rsidRPr="002946F9">
              <w:rPr>
                <w:sz w:val="22"/>
                <w:szCs w:val="22"/>
              </w:rPr>
              <w:t xml:space="preserve">Особые условия 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-Исполнитель гарантирует высокое качество услуг и оперативность их проведения. 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-Исполнитель несет ответственность за соответствие оказанных услуг и разработанной документации действующим нормативным и законодательным требованиям, требованиям Заказчика, исходным данным. 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- В случае обнаружения недостатков в оказанных услугах, в подготовленной документации Исполнитель по требованию Заказчика обязан безвозмездно исправить (доработать) документацию.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 - Исполнитель обязан гарантировать выполнение своими специалистами требований: охраны труда, санитарных норм, техники безопасности, Правил противопожарного режима в Российской Федерации, нести полную ответственность за жизнь и здоровье своих специалистов, находящихся на территории Заказчика при оказании услуг.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 - Исполнитель обязан выполнить работы силами квалифицированных специалистов, имеющих диплом о профессиональном образовании в области пожарной безопасности. 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lastRenderedPageBreak/>
              <w:t xml:space="preserve">         - Исполнитель обязуется обеспечить свой персонал всеми необходимыми инструментами и приспособлениями.</w:t>
            </w:r>
          </w:p>
          <w:p w:rsidR="0037137F" w:rsidRPr="0037137F" w:rsidRDefault="0037137F" w:rsidP="0037137F">
            <w:pPr>
              <w:jc w:val="both"/>
              <w:rPr>
                <w:sz w:val="22"/>
                <w:szCs w:val="22"/>
              </w:rPr>
            </w:pPr>
            <w:r w:rsidRPr="0037137F">
              <w:rPr>
                <w:sz w:val="22"/>
                <w:szCs w:val="22"/>
              </w:rPr>
              <w:t xml:space="preserve">         - Исполнитель обязуется не разглашать и не использовать никаким образом без письменного разрешения Заказчика информацию, предоставленную Заказчиком или ставшую ему известной в связи с оказанием настоящих Услуг. Довести до сведения собственных специалистов (сотрудников) условия о конфиденциальности настоящего Договора. Обеспечить соблюдение сотрудниками Исполнителя условий о конфиденциальности настоящего Договора.</w:t>
            </w:r>
          </w:p>
          <w:p w:rsidR="007D5F66" w:rsidRPr="0037137F" w:rsidRDefault="007D5F66" w:rsidP="0037137F">
            <w:pPr>
              <w:jc w:val="both"/>
              <w:rPr>
                <w:sz w:val="22"/>
                <w:szCs w:val="22"/>
              </w:rPr>
            </w:pPr>
          </w:p>
        </w:tc>
      </w:tr>
      <w:tr w:rsidR="00121D91">
        <w:trPr>
          <w:trHeight w:val="27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E57BAE" w:rsidRDefault="00E57BAE">
            <w:pPr>
              <w:widowControl w:val="0"/>
              <w:jc w:val="center"/>
              <w:rPr>
                <w:sz w:val="22"/>
                <w:szCs w:val="22"/>
              </w:rPr>
            </w:pPr>
            <w:r w:rsidRPr="00E57BAE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D91" w:rsidRPr="00E57BAE" w:rsidRDefault="00DC7E9B" w:rsidP="00CC18CC">
            <w:pPr>
              <w:widowControl w:val="0"/>
              <w:rPr>
                <w:sz w:val="22"/>
                <w:szCs w:val="22"/>
              </w:rPr>
            </w:pPr>
            <w:r w:rsidRPr="00E57BAE">
              <w:rPr>
                <w:sz w:val="22"/>
                <w:szCs w:val="22"/>
              </w:rPr>
              <w:t xml:space="preserve">Требование </w:t>
            </w:r>
            <w:r w:rsidR="00CC18CC">
              <w:rPr>
                <w:sz w:val="22"/>
                <w:szCs w:val="22"/>
              </w:rPr>
              <w:t>к гарантийным обязательствам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137F" w:rsidRPr="0037137F" w:rsidRDefault="0037137F" w:rsidP="0037137F">
            <w:pPr>
              <w:tabs>
                <w:tab w:val="left" w:pos="1276"/>
              </w:tabs>
              <w:suppressAutoHyphens w:val="0"/>
              <w:jc w:val="both"/>
              <w:rPr>
                <w:color w:val="auto"/>
                <w:sz w:val="22"/>
                <w:szCs w:val="22"/>
              </w:rPr>
            </w:pPr>
            <w:r w:rsidRPr="0037137F">
              <w:rPr>
                <w:color w:val="auto"/>
                <w:sz w:val="22"/>
                <w:szCs w:val="22"/>
              </w:rPr>
              <w:t xml:space="preserve">Гарантийный срок на оказанные услуги составляет 24 (двадцать четыре) месяца со дня подписания Акта сдачи-приемки оказанных услуг. </w:t>
            </w:r>
          </w:p>
          <w:p w:rsidR="0037137F" w:rsidRPr="0037137F" w:rsidRDefault="0037137F" w:rsidP="0037137F">
            <w:pPr>
              <w:tabs>
                <w:tab w:val="left" w:pos="1276"/>
              </w:tabs>
              <w:suppressAutoHyphens w:val="0"/>
              <w:jc w:val="both"/>
              <w:rPr>
                <w:color w:val="auto"/>
                <w:sz w:val="22"/>
                <w:szCs w:val="22"/>
              </w:rPr>
            </w:pPr>
            <w:r w:rsidRPr="0037137F">
              <w:rPr>
                <w:color w:val="auto"/>
                <w:sz w:val="22"/>
                <w:szCs w:val="22"/>
              </w:rPr>
              <w:t xml:space="preserve">           В случае обнаружения в течение гарантийного срока недостатков, допущенных в результате оказания услуг, Заказчик вправе потребовать от Исполнителя безвозмездно устранить выявленные недостатки в срок, установленный Заказчиком.</w:t>
            </w:r>
          </w:p>
          <w:p w:rsidR="00121D91" w:rsidRPr="00E57BAE" w:rsidRDefault="0037137F" w:rsidP="0037137F">
            <w:pPr>
              <w:tabs>
                <w:tab w:val="left" w:pos="1276"/>
              </w:tabs>
              <w:suppressAutoHyphens w:val="0"/>
              <w:spacing w:line="228" w:lineRule="auto"/>
              <w:jc w:val="both"/>
              <w:rPr>
                <w:sz w:val="22"/>
                <w:szCs w:val="22"/>
              </w:rPr>
            </w:pPr>
            <w:r w:rsidRPr="0037137F">
              <w:rPr>
                <w:color w:val="auto"/>
                <w:sz w:val="22"/>
                <w:szCs w:val="22"/>
              </w:rPr>
              <w:t xml:space="preserve">           Действие гарантийного срока продлевается эквивалентно времени, прошедшему со дня письменного уведомления Заказчиком об обнаружении недостатков до полного их устранения. </w:t>
            </w:r>
          </w:p>
        </w:tc>
      </w:tr>
      <w:tr w:rsidR="00927DAF">
        <w:trPr>
          <w:trHeight w:val="27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DAF" w:rsidRPr="00E57BAE" w:rsidRDefault="00927D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DAF" w:rsidRPr="00E57BAE" w:rsidRDefault="00927DA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предоставляемые Исполнителем по результату оказанных услуг</w:t>
            </w:r>
          </w:p>
        </w:tc>
        <w:tc>
          <w:tcPr>
            <w:tcW w:w="5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137F" w:rsidRPr="0037137F" w:rsidRDefault="0037137F" w:rsidP="0037137F">
            <w:pPr>
              <w:keepLines/>
              <w:widowControl w:val="0"/>
              <w:suppressLineNumbers/>
              <w:shd w:val="clear" w:color="auto" w:fill="FFFFFF"/>
              <w:suppressAutoHyphens w:val="0"/>
              <w:rPr>
                <w:color w:val="auto"/>
                <w:sz w:val="22"/>
                <w:szCs w:val="22"/>
              </w:rPr>
            </w:pPr>
            <w:r w:rsidRPr="0037137F">
              <w:rPr>
                <w:color w:val="auto"/>
                <w:sz w:val="22"/>
                <w:szCs w:val="22"/>
              </w:rPr>
              <w:t>- отчет на бумажном носителе и в форме электронного документа;</w:t>
            </w:r>
          </w:p>
          <w:p w:rsidR="00927DAF" w:rsidRPr="00E57BAE" w:rsidRDefault="0037137F" w:rsidP="0037137F">
            <w:pPr>
              <w:keepLines/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37137F">
              <w:rPr>
                <w:color w:val="auto"/>
                <w:sz w:val="22"/>
                <w:szCs w:val="22"/>
              </w:rPr>
              <w:t>- перечень мероприятий по устранению выявленных нарушений.</w:t>
            </w:r>
          </w:p>
        </w:tc>
      </w:tr>
    </w:tbl>
    <w:p w:rsidR="00927DAF" w:rsidRDefault="00927DAF" w:rsidP="00927DAF">
      <w:pPr>
        <w:ind w:firstLine="708"/>
        <w:jc w:val="both"/>
      </w:pPr>
    </w:p>
    <w:p w:rsidR="00927DAF" w:rsidRDefault="00E75561" w:rsidP="00927DAF">
      <w:pPr>
        <w:ind w:firstLine="708"/>
        <w:jc w:val="both"/>
      </w:pPr>
      <w:r>
        <w:t xml:space="preserve">Форма и порядок оплаты: оплата за выполненные работы осуществляется безналичным платежом, путем перечислением денежных средств на расчетный счет Исполнителя, в течение 7 рабочих дней со дня подписания акта о приемке работ обеими сторонами на основании счета. </w:t>
      </w:r>
      <w:bookmarkStart w:id="0" w:name="_GoBack"/>
      <w:bookmarkEnd w:id="0"/>
    </w:p>
    <w:p w:rsidR="00927DAF" w:rsidRDefault="00927DAF">
      <w:pPr>
        <w:jc w:val="center"/>
        <w:rPr>
          <w:b/>
          <w:sz w:val="18"/>
          <w:szCs w:val="18"/>
        </w:rPr>
      </w:pPr>
    </w:p>
    <w:p w:rsidR="00630143" w:rsidRDefault="00630143">
      <w:pPr>
        <w:jc w:val="center"/>
        <w:rPr>
          <w:b/>
          <w:sz w:val="18"/>
          <w:szCs w:val="18"/>
        </w:rPr>
      </w:pPr>
    </w:p>
    <w:sectPr w:rsidR="00630143">
      <w:pgSz w:w="11906" w:h="16838"/>
      <w:pgMar w:top="709" w:right="851" w:bottom="426" w:left="851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D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962"/>
    <w:multiLevelType w:val="multilevel"/>
    <w:tmpl w:val="9DF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21C20"/>
    <w:multiLevelType w:val="multilevel"/>
    <w:tmpl w:val="3BC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53AAC"/>
    <w:multiLevelType w:val="multilevel"/>
    <w:tmpl w:val="1E6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894F7C"/>
    <w:multiLevelType w:val="multilevel"/>
    <w:tmpl w:val="88FC9FFE"/>
    <w:lvl w:ilvl="0">
      <w:start w:val="8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</w:lvl>
    <w:lvl w:ilvl="3">
      <w:start w:val="1"/>
      <w:numFmt w:val="decimal"/>
      <w:lvlText w:val="%1.%2.%3.%4."/>
      <w:lvlJc w:val="left"/>
      <w:pPr>
        <w:ind w:left="5661" w:hanging="72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315" w:hanging="108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2969" w:hanging="144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4" w15:restartNumberingAfterBreak="0">
    <w:nsid w:val="50D82F54"/>
    <w:multiLevelType w:val="hybridMultilevel"/>
    <w:tmpl w:val="FF00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91"/>
    <w:rsid w:val="00011EE2"/>
    <w:rsid w:val="0006769C"/>
    <w:rsid w:val="000B517A"/>
    <w:rsid w:val="00121D91"/>
    <w:rsid w:val="00234D96"/>
    <w:rsid w:val="0028504C"/>
    <w:rsid w:val="002B56AC"/>
    <w:rsid w:val="002C2631"/>
    <w:rsid w:val="002C279C"/>
    <w:rsid w:val="00310841"/>
    <w:rsid w:val="00313945"/>
    <w:rsid w:val="00367BEE"/>
    <w:rsid w:val="0037137F"/>
    <w:rsid w:val="00390955"/>
    <w:rsid w:val="003A6BC6"/>
    <w:rsid w:val="003F68AF"/>
    <w:rsid w:val="00420AF7"/>
    <w:rsid w:val="004566F1"/>
    <w:rsid w:val="004731E5"/>
    <w:rsid w:val="00474126"/>
    <w:rsid w:val="00482EB7"/>
    <w:rsid w:val="00516D18"/>
    <w:rsid w:val="005641E9"/>
    <w:rsid w:val="005936B5"/>
    <w:rsid w:val="005A158F"/>
    <w:rsid w:val="005C3F81"/>
    <w:rsid w:val="00630143"/>
    <w:rsid w:val="00646504"/>
    <w:rsid w:val="00661230"/>
    <w:rsid w:val="00662CB2"/>
    <w:rsid w:val="00672FF3"/>
    <w:rsid w:val="00750E39"/>
    <w:rsid w:val="007A0D8A"/>
    <w:rsid w:val="007A1F8A"/>
    <w:rsid w:val="007D5F66"/>
    <w:rsid w:val="00800E58"/>
    <w:rsid w:val="008252C6"/>
    <w:rsid w:val="00832656"/>
    <w:rsid w:val="00867811"/>
    <w:rsid w:val="00882CA7"/>
    <w:rsid w:val="008B4F6B"/>
    <w:rsid w:val="008D0760"/>
    <w:rsid w:val="00914FBA"/>
    <w:rsid w:val="00922E95"/>
    <w:rsid w:val="0092486D"/>
    <w:rsid w:val="00927DAF"/>
    <w:rsid w:val="009E70ED"/>
    <w:rsid w:val="00A07C42"/>
    <w:rsid w:val="00AB653D"/>
    <w:rsid w:val="00AE341C"/>
    <w:rsid w:val="00B33AE7"/>
    <w:rsid w:val="00B47328"/>
    <w:rsid w:val="00BA661C"/>
    <w:rsid w:val="00C301FC"/>
    <w:rsid w:val="00C41911"/>
    <w:rsid w:val="00CB0D6A"/>
    <w:rsid w:val="00CC18CC"/>
    <w:rsid w:val="00CE7EF8"/>
    <w:rsid w:val="00D0471C"/>
    <w:rsid w:val="00D1789C"/>
    <w:rsid w:val="00D50CC0"/>
    <w:rsid w:val="00D67795"/>
    <w:rsid w:val="00DC45C8"/>
    <w:rsid w:val="00DC7E9B"/>
    <w:rsid w:val="00DD7F40"/>
    <w:rsid w:val="00DE2A6A"/>
    <w:rsid w:val="00E57BAE"/>
    <w:rsid w:val="00E67F11"/>
    <w:rsid w:val="00E75561"/>
    <w:rsid w:val="00F11CEB"/>
    <w:rsid w:val="00F16AAB"/>
    <w:rsid w:val="00F4028E"/>
    <w:rsid w:val="00F800A6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233C"/>
  <w15:docId w15:val="{359E5EFC-4073-44F0-A172-14CC1D7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87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2874"/>
    <w:pPr>
      <w:keepNext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2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a0"/>
    <w:uiPriority w:val="99"/>
    <w:qFormat/>
    <w:locked/>
    <w:rsid w:val="00262874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3">
    <w:name w:val="Абзац списка Знак"/>
    <w:aliases w:val="Bullet List Знак,FooterText Знак,numbered Знак,Paragraphe de liste1 Знак,lp1 Знак"/>
    <w:uiPriority w:val="34"/>
    <w:qFormat/>
    <w:locked/>
    <w:rsid w:val="00262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C33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54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F7232"/>
    <w:rPr>
      <w:color w:val="0000FF"/>
      <w:u w:val="single"/>
    </w:rPr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6">
    <w:name w:val="Основной текст (6) + Не курсив"/>
    <w:qFormat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ru-RU"/>
    </w:rPr>
  </w:style>
  <w:style w:type="character" w:customStyle="1" w:styleId="60">
    <w:name w:val="Основной текст (6)_"/>
    <w:qFormat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ru-RU"/>
    </w:rPr>
  </w:style>
  <w:style w:type="character" w:customStyle="1" w:styleId="22">
    <w:name w:val="Основной текст (2)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eastAsia="Times New Roman CYR" w:hAnsi="Times New Roman CYR"/>
      <w:sz w:val="24"/>
    </w:rPr>
  </w:style>
  <w:style w:type="character" w:customStyle="1" w:styleId="q">
    <w:name w:val="q"/>
    <w:qFormat/>
  </w:style>
  <w:style w:type="character" w:customStyle="1" w:styleId="8pt">
    <w:name w:val="8pt"/>
    <w:qFormat/>
    <w:rPr>
      <w:b/>
      <w:spacing w:val="2"/>
    </w:rPr>
  </w:style>
  <w:style w:type="character" w:customStyle="1" w:styleId="extended-textfull">
    <w:name w:val="extended-text__full"/>
    <w:qFormat/>
  </w:style>
  <w:style w:type="character" w:styleId="a7">
    <w:name w:val="Strong"/>
    <w:qFormat/>
    <w:rPr>
      <w:b/>
    </w:rPr>
  </w:style>
  <w:style w:type="character" w:customStyle="1" w:styleId="FontStyle23">
    <w:name w:val="Font Style23"/>
    <w:qFormat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qFormat/>
  </w:style>
  <w:style w:type="character" w:customStyle="1" w:styleId="3">
    <w:name w:val="Заголовок 3 Знак"/>
    <w:qFormat/>
    <w:rPr>
      <w:rFonts w:ascii="Arial" w:eastAsia="Arial" w:hAnsi="Arial"/>
      <w:b/>
      <w:bCs/>
      <w:sz w:val="26"/>
      <w:szCs w:val="26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/>
      <w:sz w:val="26"/>
      <w:szCs w:val="21"/>
    </w:rPr>
  </w:style>
  <w:style w:type="character" w:customStyle="1" w:styleId="WW8Num4z1">
    <w:name w:val="WW8Num4z1"/>
    <w:qFormat/>
    <w:rPr>
      <w:rFonts w:eastAsia="Times New Roman"/>
      <w:szCs w:val="21"/>
    </w:rPr>
  </w:style>
  <w:style w:type="character" w:customStyle="1" w:styleId="WW8Num4z0">
    <w:name w:val="WW8Num4z0"/>
    <w:qFormat/>
    <w:rPr>
      <w:rFonts w:eastAsia="Times New Roman"/>
      <w:bCs/>
      <w:szCs w:val="24"/>
    </w:rPr>
  </w:style>
  <w:style w:type="character" w:customStyle="1" w:styleId="WW8Num3z2">
    <w:name w:val="WW8Num3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1">
    <w:name w:val="WW8Num3z1"/>
    <w:qFormat/>
    <w:rPr>
      <w:rFonts w:ascii="Times New Roman" w:eastAsia="Times New Roman" w:hAnsi="Times New Roman"/>
      <w:b w:val="0"/>
      <w:i w:val="0"/>
      <w:caps w:val="0"/>
      <w:smallCaps w:val="0"/>
      <w:spacing w:val="0"/>
      <w:sz w:val="20"/>
      <w:szCs w:val="20"/>
      <w:lang w:val="ru-RU"/>
    </w:rPr>
  </w:style>
  <w:style w:type="character" w:customStyle="1" w:styleId="WW8Num3z0">
    <w:name w:val="WW8Num3z0"/>
    <w:qFormat/>
    <w:rPr>
      <w:rFonts w:ascii="Times New Roman" w:eastAsia="Times New Roman" w:hAnsi="Times New Roman"/>
      <w:b w:val="0"/>
      <w:bCs w:val="0"/>
      <w:sz w:val="20"/>
      <w:szCs w:val="20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Times New Roman" w:eastAsia="Times New Roman" w:hAnsi="Times New Roman"/>
      <w:b w:val="0"/>
      <w:bCs w:val="0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pacing w:before="120" w:after="120"/>
    </w:pPr>
    <w:rPr>
      <w:rFonts w:eastAsia="Lucida Sans"/>
      <w:i/>
      <w:iCs/>
      <w:lang w:eastAsia="hi-IN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List Paragraph"/>
    <w:aliases w:val="Bullet List,FooterText,numbered,Paragraphe de liste1,lp1"/>
    <w:basedOn w:val="a"/>
    <w:uiPriority w:val="34"/>
    <w:qFormat/>
    <w:pPr>
      <w:ind w:left="708"/>
    </w:pPr>
  </w:style>
  <w:style w:type="paragraph" w:styleId="ad">
    <w:name w:val="Balloon Text"/>
    <w:basedOn w:val="a"/>
    <w:uiPriority w:val="99"/>
    <w:semiHidden/>
    <w:unhideWhenUsed/>
    <w:qFormat/>
    <w:rsid w:val="004C3307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autoRedefine/>
    <w:qFormat/>
    <w:rsid w:val="001545AD"/>
    <w:pPr>
      <w:spacing w:after="160" w:line="240" w:lineRule="exact"/>
      <w:ind w:firstLine="600"/>
      <w:jc w:val="both"/>
    </w:pPr>
    <w:rPr>
      <w:szCs w:val="20"/>
      <w:lang w:val="en-US" w:eastAsia="en-US"/>
    </w:rPr>
  </w:style>
  <w:style w:type="paragraph" w:customStyle="1" w:styleId="headertext">
    <w:name w:val="headertext"/>
    <w:basedOn w:val="a"/>
    <w:qFormat/>
    <w:rsid w:val="00092638"/>
    <w:pPr>
      <w:spacing w:beforeAutospacing="1" w:afterAutospacing="1"/>
    </w:pPr>
  </w:style>
  <w:style w:type="paragraph" w:customStyle="1" w:styleId="formattext">
    <w:name w:val="formattext"/>
    <w:basedOn w:val="a"/>
    <w:qFormat/>
    <w:rsid w:val="00092638"/>
    <w:pPr>
      <w:spacing w:beforeAutospacing="1" w:afterAutospacing="1"/>
    </w:pPr>
  </w:style>
  <w:style w:type="paragraph" w:customStyle="1" w:styleId="ae">
    <w:name w:val="Àáçàö"/>
    <w:basedOn w:val="a"/>
    <w:qFormat/>
    <w:pPr>
      <w:ind w:firstLine="567"/>
      <w:jc w:val="both"/>
    </w:pPr>
    <w:rPr>
      <w:rFonts w:ascii="TimesDL" w:eastAsia="TimesDL" w:hAnsi="TimesDL"/>
      <w:lang w:val="en-GB" w:eastAsia="hi-IN"/>
    </w:rPr>
  </w:style>
  <w:style w:type="paragraph" w:customStyle="1" w:styleId="consplusnormal">
    <w:name w:val="consplusnormal"/>
    <w:basedOn w:val="a"/>
    <w:qFormat/>
    <w:pPr>
      <w:spacing w:before="187" w:after="187"/>
      <w:ind w:left="187" w:right="187"/>
    </w:pPr>
    <w:rPr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Liberation Serif"/>
      <w:kern w:val="2"/>
      <w:szCs w:val="20"/>
      <w:lang w:eastAsia="ar-SA"/>
    </w:rPr>
  </w:style>
  <w:style w:type="paragraph" w:customStyle="1" w:styleId="af">
    <w:name w:val="А. часть_раздела"/>
    <w:basedOn w:val="2"/>
    <w:qFormat/>
    <w:pPr>
      <w:widowControl w:val="0"/>
      <w:tabs>
        <w:tab w:val="left" w:pos="0"/>
      </w:tabs>
      <w:spacing w:before="240" w:after="60"/>
      <w:ind w:firstLine="567"/>
    </w:pPr>
    <w:rPr>
      <w:rFonts w:ascii="Arial" w:eastAsia="Arial" w:hAnsi="Arial"/>
      <w:i/>
      <w:iCs/>
      <w:szCs w:val="28"/>
      <w:lang w:eastAsia="hi-IN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240" w:line="274" w:lineRule="exact"/>
    </w:pPr>
    <w:rPr>
      <w:b/>
      <w:sz w:val="20"/>
    </w:rPr>
  </w:style>
  <w:style w:type="paragraph" w:styleId="23">
    <w:name w:val="Body Text 2"/>
    <w:basedOn w:val="a"/>
    <w:qFormat/>
    <w:rPr>
      <w:sz w:val="18"/>
      <w:szCs w:val="20"/>
      <w:lang w:eastAsia="hi-IN"/>
    </w:rPr>
  </w:style>
  <w:style w:type="paragraph" w:customStyle="1" w:styleId="otekstj">
    <w:name w:val="otekstj"/>
    <w:basedOn w:val="a"/>
    <w:qFormat/>
    <w:pPr>
      <w:spacing w:before="280" w:after="280"/>
    </w:pPr>
    <w:rPr>
      <w:lang w:eastAsia="hi-I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eastAsia="hi-IN"/>
    </w:rPr>
  </w:style>
  <w:style w:type="paragraph" w:customStyle="1" w:styleId="ConsPlusNonformat">
    <w:name w:val="ConsPlusNonformat"/>
    <w:qFormat/>
    <w:rPr>
      <w:rFonts w:ascii="Courier New" w:eastAsia="Courier New" w:hAnsi="Courier New" w:cs="Liberation Serif"/>
      <w:color w:val="00000A"/>
      <w:kern w:val="2"/>
      <w:sz w:val="28"/>
      <w:szCs w:val="20"/>
      <w:lang w:eastAsia="ar-SA"/>
    </w:rPr>
  </w:style>
  <w:style w:type="paragraph" w:customStyle="1" w:styleId="af0">
    <w:name w:val="Обычный + по ширине"/>
    <w:basedOn w:val="a"/>
    <w:qFormat/>
  </w:style>
  <w:style w:type="paragraph" w:customStyle="1" w:styleId="210">
    <w:name w:val="Основной текст 2 Знак1"/>
    <w:basedOn w:val="a"/>
    <w:qFormat/>
    <w:pPr>
      <w:spacing w:line="278" w:lineRule="exact"/>
    </w:pPr>
    <w:rPr>
      <w:rFonts w:ascii="Calibri" w:eastAsia="Calibri" w:hAnsi="Calibri"/>
      <w:i/>
      <w:lang w:eastAsia="hi-IN"/>
    </w:rPr>
  </w:style>
  <w:style w:type="paragraph" w:customStyle="1" w:styleId="af1">
    <w:name w:val="Пункт"/>
    <w:basedOn w:val="a"/>
    <w:qFormat/>
    <w:pPr>
      <w:tabs>
        <w:tab w:val="left" w:pos="3384"/>
      </w:tabs>
      <w:ind w:left="1404" w:hanging="504"/>
      <w:jc w:val="both"/>
    </w:pPr>
    <w:rPr>
      <w:rFonts w:eastAsia="Calibri"/>
      <w:szCs w:val="28"/>
      <w:lang w:eastAsia="hi-IN"/>
    </w:rPr>
  </w:style>
  <w:style w:type="paragraph" w:customStyle="1" w:styleId="Style3">
    <w:name w:val="Style3"/>
    <w:qFormat/>
    <w:pPr>
      <w:tabs>
        <w:tab w:val="left" w:pos="870"/>
        <w:tab w:val="left" w:pos="1238"/>
        <w:tab w:val="left" w:pos="1428"/>
      </w:tabs>
      <w:spacing w:line="274" w:lineRule="exact"/>
      <w:ind w:left="720"/>
      <w:contextualSpacing/>
      <w:jc w:val="center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WW-2">
    <w:name w:val="WW-Основной текст 2"/>
    <w:qFormat/>
    <w:pPr>
      <w:tabs>
        <w:tab w:val="left" w:pos="708"/>
      </w:tabs>
      <w:contextualSpacing/>
    </w:pPr>
    <w:rPr>
      <w:rFonts w:ascii="Times New Roman" w:eastAsia="Times New Roman" w:hAnsi="Times New Roman" w:cs="Liberation Serif"/>
      <w:kern w:val="2"/>
      <w:sz w:val="18"/>
      <w:szCs w:val="18"/>
      <w:lang w:eastAsia="hi-IN"/>
    </w:rPr>
  </w:style>
  <w:style w:type="paragraph" w:customStyle="1" w:styleId="Default">
    <w:name w:val="Default"/>
    <w:qFormat/>
    <w:rPr>
      <w:rFonts w:ascii="Times New Roman" w:eastAsia="Times New Roman" w:hAnsi="Times New Roman" w:cs="Liberation Serif"/>
      <w:color w:val="000000"/>
      <w:kern w:val="2"/>
      <w:sz w:val="24"/>
      <w:szCs w:val="24"/>
      <w:lang w:eastAsia="hi-IN"/>
    </w:rPr>
  </w:style>
  <w:style w:type="paragraph" w:customStyle="1" w:styleId="220">
    <w:name w:val="22"/>
    <w:basedOn w:val="a"/>
    <w:qFormat/>
    <w:pPr>
      <w:spacing w:before="360" w:after="360" w:line="240" w:lineRule="atLeast"/>
    </w:pPr>
    <w:rPr>
      <w:spacing w:val="3"/>
    </w:rPr>
  </w:style>
  <w:style w:type="paragraph" w:customStyle="1" w:styleId="40">
    <w:name w:val="40"/>
    <w:basedOn w:val="a"/>
    <w:qFormat/>
    <w:pPr>
      <w:spacing w:before="300" w:after="360" w:line="240" w:lineRule="atLeast"/>
    </w:pPr>
    <w:rPr>
      <w:spacing w:val="3"/>
    </w:rPr>
  </w:style>
  <w:style w:type="paragraph" w:customStyle="1" w:styleId="15">
    <w:name w:val="Абзац списка1"/>
    <w:qFormat/>
    <w:pPr>
      <w:widowControl w:val="0"/>
      <w:tabs>
        <w:tab w:val="left" w:pos="1428"/>
      </w:tabs>
      <w:ind w:left="720"/>
      <w:contextualSpacing/>
    </w:pPr>
    <w:rPr>
      <w:rFonts w:ascii="Calibri" w:eastAsia="Tahoma" w:hAnsi="Calibri" w:cs="Liberation Serif"/>
      <w:kern w:val="2"/>
      <w:sz w:val="24"/>
      <w:szCs w:val="24"/>
      <w:lang w:eastAsia="hi-IN"/>
    </w:rPr>
  </w:style>
  <w:style w:type="paragraph" w:customStyle="1" w:styleId="s1">
    <w:name w:val="s_1"/>
    <w:qFormat/>
    <w:pPr>
      <w:tabs>
        <w:tab w:val="left" w:pos="708"/>
      </w:tabs>
      <w:ind w:firstLine="709"/>
      <w:contextualSpacing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FormField">
    <w:name w:val="FormField"/>
    <w:qFormat/>
    <w:pPr>
      <w:tabs>
        <w:tab w:val="left" w:pos="708"/>
      </w:tabs>
      <w:spacing w:before="120" w:line="100" w:lineRule="atLeast"/>
      <w:contextualSpacing/>
    </w:pPr>
    <w:rPr>
      <w:rFonts w:ascii="Arial" w:eastAsia="Arial" w:hAnsi="Arial" w:cs="Liberation Serif"/>
      <w:b/>
      <w:kern w:val="2"/>
      <w:sz w:val="24"/>
      <w:szCs w:val="20"/>
      <w:lang w:eastAsia="hi-IN"/>
    </w:rPr>
  </w:style>
  <w:style w:type="paragraph" w:customStyle="1" w:styleId="24">
    <w:name w:val="Абзац списка2"/>
    <w:qFormat/>
    <w:pPr>
      <w:tabs>
        <w:tab w:val="left" w:pos="792"/>
      </w:tabs>
      <w:ind w:left="84" w:right="96"/>
      <w:contextualSpacing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styleId="af2">
    <w:name w:val="No Spacing"/>
    <w:uiPriority w:val="1"/>
    <w:qFormat/>
    <w:rPr>
      <w:rFonts w:ascii="Calibri" w:eastAsia="Calibri" w:hAnsi="Calibri" w:cs="Liberation Serif"/>
      <w:kern w:val="2"/>
      <w:sz w:val="24"/>
      <w:szCs w:val="24"/>
      <w:lang w:eastAsia="hi-IN"/>
    </w:rPr>
  </w:style>
  <w:style w:type="paragraph" w:styleId="af3">
    <w:name w:val="Normal (Web)"/>
    <w:uiPriority w:val="99"/>
    <w:qFormat/>
    <w:pPr>
      <w:shd w:val="clear" w:color="auto" w:fill="FFFFFF"/>
      <w:tabs>
        <w:tab w:val="left" w:pos="0"/>
        <w:tab w:val="left" w:pos="708"/>
      </w:tabs>
      <w:ind w:right="34" w:firstLine="709"/>
      <w:contextualSpacing/>
      <w:jc w:val="both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s13">
    <w:name w:val="s_13"/>
    <w:qFormat/>
    <w:pPr>
      <w:shd w:val="clear" w:color="auto" w:fill="FFFFFF"/>
      <w:tabs>
        <w:tab w:val="left" w:pos="708"/>
      </w:tabs>
      <w:contextualSpacing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30">
    <w:name w:val="Стиль3 Знак Знак"/>
    <w:qFormat/>
    <w:pPr>
      <w:widowControl w:val="0"/>
      <w:tabs>
        <w:tab w:val="left" w:pos="227"/>
      </w:tabs>
      <w:contextualSpacing/>
      <w:jc w:val="both"/>
    </w:pPr>
    <w:rPr>
      <w:sz w:val="24"/>
      <w:szCs w:val="20"/>
      <w:lang w:eastAsia="hi-IN"/>
    </w:rPr>
  </w:style>
  <w:style w:type="paragraph" w:customStyle="1" w:styleId="5">
    <w:name w:val="Абзац списка5"/>
    <w:basedOn w:val="a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val="en-US" w:eastAsia="hi-IN"/>
    </w:rPr>
  </w:style>
  <w:style w:type="paragraph" w:customStyle="1" w:styleId="31">
    <w:name w:val="Стиль3"/>
    <w:qFormat/>
    <w:pPr>
      <w:widowControl w:val="0"/>
      <w:tabs>
        <w:tab w:val="left" w:pos="1440"/>
        <w:tab w:val="left" w:pos="2387"/>
      </w:tabs>
      <w:ind w:left="1080"/>
      <w:contextualSpacing/>
      <w:jc w:val="both"/>
    </w:pPr>
    <w:rPr>
      <w:sz w:val="24"/>
      <w:szCs w:val="20"/>
      <w:lang w:eastAsia="hi-IN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rFonts w:eastAsia="Calibri"/>
      <w:lang w:eastAsia="hi-IN"/>
    </w:rPr>
  </w:style>
  <w:style w:type="paragraph" w:customStyle="1" w:styleId="26">
    <w:name w:val="Стиль2"/>
    <w:qFormat/>
    <w:pPr>
      <w:keepNext/>
      <w:keepLines/>
      <w:widowControl w:val="0"/>
      <w:tabs>
        <w:tab w:val="left" w:pos="1154"/>
      </w:tabs>
      <w:ind w:left="74" w:right="125" w:hanging="40"/>
      <w:contextualSpacing/>
    </w:pPr>
    <w:rPr>
      <w:rFonts w:ascii="Calibri" w:eastAsia="Calibri" w:hAnsi="Calibri"/>
      <w:b/>
      <w:color w:val="000000"/>
      <w:sz w:val="22"/>
    </w:rPr>
  </w:style>
  <w:style w:type="paragraph" w:styleId="27">
    <w:name w:val="List Number 2"/>
    <w:basedOn w:val="a"/>
    <w:qFormat/>
    <w:pPr>
      <w:contextualSpacing/>
    </w:pPr>
  </w:style>
  <w:style w:type="paragraph" w:customStyle="1" w:styleId="ConsPlusNormal0">
    <w:name w:val="ConsPlusNormal"/>
    <w:qFormat/>
    <w:pPr>
      <w:widowControl w:val="0"/>
      <w:tabs>
        <w:tab w:val="left" w:pos="708"/>
      </w:tabs>
      <w:ind w:firstLine="709"/>
      <w:contextualSpacing/>
      <w:jc w:val="both"/>
    </w:pPr>
    <w:rPr>
      <w:rFonts w:ascii="Times New Roman" w:eastAsia="Times New Roman" w:hAnsi="Times New Roman" w:cs="Liberation Serif"/>
      <w:b/>
      <w:kern w:val="2"/>
      <w:sz w:val="24"/>
      <w:szCs w:val="24"/>
      <w:lang w:eastAsia="hi-IN"/>
    </w:rPr>
  </w:style>
  <w:style w:type="paragraph" w:customStyle="1" w:styleId="16">
    <w:name w:val="Указатель1"/>
    <w:basedOn w:val="a"/>
    <w:qFormat/>
    <w:rPr>
      <w:rFonts w:eastAsia="Lucida Sans"/>
      <w:lang w:eastAsia="hi-IN"/>
    </w:rPr>
  </w:style>
  <w:style w:type="character" w:customStyle="1" w:styleId="s2">
    <w:name w:val="s2"/>
    <w:basedOn w:val="a0"/>
    <w:rsid w:val="00D67795"/>
  </w:style>
  <w:style w:type="character" w:styleId="af4">
    <w:name w:val="Hyperlink"/>
    <w:basedOn w:val="a0"/>
    <w:uiPriority w:val="99"/>
    <w:semiHidden/>
    <w:unhideWhenUsed/>
    <w:rsid w:val="00F94204"/>
    <w:rPr>
      <w:color w:val="0000FF" w:themeColor="hyperlink"/>
      <w:u w:val="single"/>
    </w:rPr>
  </w:style>
  <w:style w:type="character" w:customStyle="1" w:styleId="w">
    <w:name w:val="w"/>
    <w:basedOn w:val="a0"/>
    <w:rsid w:val="00F11CEB"/>
  </w:style>
  <w:style w:type="character" w:styleId="af5">
    <w:name w:val="Subtle Emphasis"/>
    <w:basedOn w:val="a0"/>
    <w:uiPriority w:val="19"/>
    <w:qFormat/>
    <w:rsid w:val="00313945"/>
    <w:rPr>
      <w:i/>
      <w:iCs/>
      <w:color w:val="808080" w:themeColor="text1" w:themeTint="7F"/>
    </w:rPr>
  </w:style>
  <w:style w:type="table" w:styleId="af6">
    <w:name w:val="Table Grid"/>
    <w:basedOn w:val="a1"/>
    <w:uiPriority w:val="59"/>
    <w:rsid w:val="00630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ADB1-8F71-4D0A-9433-7BAA2A44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1795</Words>
  <Characters>10234</Characters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2022-04-06T02:08:00Z</cp:lastPrinted>
  <dcterms:created xsi:type="dcterms:W3CDTF">2025-05-28T13:28:00Z</dcterms:created>
  <dcterms:modified xsi:type="dcterms:W3CDTF">2025-06-27T05:44:00Z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