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C87" w:rsidRPr="005B5C87" w:rsidRDefault="005B5C87" w:rsidP="005B5C8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Приглашение к участию в закупке способом сравнения цен в электронной форме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678"/>
      </w:tblGrid>
      <w:tr w:rsidR="00D52C9D" w:rsidRPr="00451F31" w:rsidTr="00402349">
        <w:tc>
          <w:tcPr>
            <w:tcW w:w="959" w:type="dxa"/>
            <w:shd w:val="clear" w:color="auto" w:fill="auto"/>
          </w:tcPr>
          <w:p w:rsidR="00D52C9D" w:rsidRPr="00402349" w:rsidRDefault="00D52C9D" w:rsidP="0040234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0234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D52C9D" w:rsidRPr="00402349" w:rsidRDefault="00D52C9D" w:rsidP="0040234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02349">
              <w:rPr>
                <w:b/>
                <w:sz w:val="24"/>
                <w:szCs w:val="24"/>
              </w:rPr>
              <w:t>Параметр закупки</w:t>
            </w:r>
          </w:p>
        </w:tc>
        <w:tc>
          <w:tcPr>
            <w:tcW w:w="4678" w:type="dxa"/>
            <w:shd w:val="clear" w:color="auto" w:fill="auto"/>
          </w:tcPr>
          <w:p w:rsidR="00D52C9D" w:rsidRPr="00402349" w:rsidRDefault="00D52C9D" w:rsidP="0040234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402349">
              <w:rPr>
                <w:b/>
                <w:sz w:val="24"/>
                <w:szCs w:val="24"/>
              </w:rPr>
              <w:t>Значение параметра закупки</w:t>
            </w:r>
          </w:p>
        </w:tc>
      </w:tr>
      <w:tr w:rsidR="00D52C9D" w:rsidRPr="00451F31" w:rsidTr="00402349">
        <w:tc>
          <w:tcPr>
            <w:tcW w:w="959" w:type="dxa"/>
            <w:shd w:val="clear" w:color="auto" w:fill="auto"/>
          </w:tcPr>
          <w:p w:rsidR="00D52C9D" w:rsidRPr="00402349" w:rsidRDefault="00D52C9D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D52C9D" w:rsidRPr="00402349" w:rsidRDefault="00D52C9D" w:rsidP="004023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Способ осуществления закупки</w:t>
            </w:r>
          </w:p>
        </w:tc>
        <w:tc>
          <w:tcPr>
            <w:tcW w:w="4678" w:type="dxa"/>
            <w:shd w:val="clear" w:color="auto" w:fill="auto"/>
          </w:tcPr>
          <w:p w:rsidR="00D52C9D" w:rsidRPr="00402349" w:rsidRDefault="005B5C87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цен в электронной форме</w:t>
            </w:r>
          </w:p>
        </w:tc>
      </w:tr>
      <w:tr w:rsidR="00D52C9D" w:rsidRPr="00451F31" w:rsidTr="00402349">
        <w:tc>
          <w:tcPr>
            <w:tcW w:w="959" w:type="dxa"/>
            <w:shd w:val="clear" w:color="auto" w:fill="auto"/>
          </w:tcPr>
          <w:p w:rsidR="00D52C9D" w:rsidRPr="00402349" w:rsidRDefault="00D52C9D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D52C9D" w:rsidRPr="00402349" w:rsidRDefault="00D52C9D" w:rsidP="0040234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4678" w:type="dxa"/>
            <w:shd w:val="clear" w:color="auto" w:fill="auto"/>
          </w:tcPr>
          <w:p w:rsidR="00D52C9D" w:rsidRPr="00402349" w:rsidRDefault="00D52C9D" w:rsidP="0040234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02349">
              <w:rPr>
                <w:b/>
                <w:sz w:val="24"/>
                <w:szCs w:val="24"/>
              </w:rPr>
              <w:t xml:space="preserve">Публичное акционерное общество «ТНС </w:t>
            </w:r>
            <w:proofErr w:type="spellStart"/>
            <w:r w:rsidRPr="00402349">
              <w:rPr>
                <w:b/>
                <w:sz w:val="24"/>
                <w:szCs w:val="24"/>
              </w:rPr>
              <w:t>энерго</w:t>
            </w:r>
            <w:proofErr w:type="spellEnd"/>
            <w:r w:rsidRPr="00402349">
              <w:rPr>
                <w:b/>
                <w:sz w:val="24"/>
                <w:szCs w:val="24"/>
              </w:rPr>
              <w:t xml:space="preserve"> Ярославль»</w:t>
            </w:r>
          </w:p>
          <w:p w:rsidR="00D52C9D" w:rsidRPr="00402349" w:rsidRDefault="00D52C9D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Место нахождения: 150003 г. Ярославль, проспект Ленина, 21-Б</w:t>
            </w:r>
          </w:p>
          <w:p w:rsidR="00D52C9D" w:rsidRPr="00402349" w:rsidRDefault="00D52C9D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Почтовый адрес: 150003 г. Ярославль, проспект Ленина, 21-Б</w:t>
            </w:r>
          </w:p>
          <w:p w:rsidR="00D52C9D" w:rsidRPr="00402349" w:rsidRDefault="00D52C9D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 xml:space="preserve">Тел\факс (4852) 78-19-67, факс: (4852) 78-19-04, </w:t>
            </w:r>
          </w:p>
          <w:p w:rsidR="00D52C9D" w:rsidRPr="00402349" w:rsidRDefault="00D52C9D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  <w:lang w:val="en-US"/>
              </w:rPr>
              <w:t>E</w:t>
            </w:r>
            <w:r w:rsidRPr="00402349">
              <w:rPr>
                <w:sz w:val="24"/>
                <w:szCs w:val="24"/>
              </w:rPr>
              <w:t>-</w:t>
            </w:r>
            <w:r w:rsidRPr="00402349">
              <w:rPr>
                <w:sz w:val="24"/>
                <w:szCs w:val="24"/>
                <w:lang w:val="en-US"/>
              </w:rPr>
              <w:t>mail</w:t>
            </w:r>
            <w:r w:rsidRPr="00402349">
              <w:rPr>
                <w:sz w:val="24"/>
                <w:szCs w:val="24"/>
              </w:rPr>
              <w:t xml:space="preserve">: </w:t>
            </w:r>
            <w:hyperlink r:id="rId8" w:history="1">
              <w:r w:rsidRPr="00402349">
                <w:rPr>
                  <w:rStyle w:val="a9"/>
                  <w:sz w:val="24"/>
                  <w:szCs w:val="24"/>
                  <w:lang w:val="en-US"/>
                </w:rPr>
                <w:t>y</w:t>
              </w:r>
              <w:r w:rsidRPr="00402349">
                <w:rPr>
                  <w:rStyle w:val="a9"/>
                  <w:sz w:val="24"/>
                  <w:szCs w:val="24"/>
                </w:rPr>
                <w:t>.</w:t>
              </w:r>
              <w:r w:rsidRPr="00402349">
                <w:rPr>
                  <w:rStyle w:val="a9"/>
                  <w:sz w:val="24"/>
                  <w:szCs w:val="24"/>
                  <w:lang w:val="en-US"/>
                </w:rPr>
                <w:t>bubyakina</w:t>
              </w:r>
              <w:r w:rsidRPr="00402349">
                <w:rPr>
                  <w:rStyle w:val="a9"/>
                  <w:sz w:val="24"/>
                  <w:szCs w:val="24"/>
                </w:rPr>
                <w:t>@</w:t>
              </w:r>
              <w:r w:rsidRPr="00402349">
                <w:rPr>
                  <w:rStyle w:val="a9"/>
                  <w:sz w:val="24"/>
                  <w:szCs w:val="24"/>
                  <w:lang w:val="en-US"/>
                </w:rPr>
                <w:t>yar</w:t>
              </w:r>
              <w:r w:rsidRPr="00402349">
                <w:rPr>
                  <w:rStyle w:val="a9"/>
                  <w:sz w:val="24"/>
                  <w:szCs w:val="24"/>
                </w:rPr>
                <w:t>.</w:t>
              </w:r>
              <w:r w:rsidRPr="00402349">
                <w:rPr>
                  <w:rStyle w:val="a9"/>
                  <w:sz w:val="24"/>
                  <w:szCs w:val="24"/>
                  <w:lang w:val="en-US"/>
                </w:rPr>
                <w:t>tns</w:t>
              </w:r>
              <w:r w:rsidRPr="00402349">
                <w:rPr>
                  <w:rStyle w:val="a9"/>
                  <w:sz w:val="24"/>
                  <w:szCs w:val="24"/>
                </w:rPr>
                <w:t>-</w:t>
              </w:r>
              <w:r w:rsidRPr="00402349">
                <w:rPr>
                  <w:rStyle w:val="a9"/>
                  <w:sz w:val="24"/>
                  <w:szCs w:val="24"/>
                  <w:lang w:val="en-US"/>
                </w:rPr>
                <w:t>e</w:t>
              </w:r>
              <w:r w:rsidRPr="00402349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402349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02349">
              <w:rPr>
                <w:sz w:val="24"/>
                <w:szCs w:val="24"/>
              </w:rPr>
              <w:t xml:space="preserve"> </w:t>
            </w:r>
          </w:p>
          <w:p w:rsidR="00D52C9D" w:rsidRPr="00402349" w:rsidRDefault="00D52C9D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 xml:space="preserve">Контактное лицо: начальник отдела управления закупками </w:t>
            </w:r>
            <w:r w:rsidR="00451F31" w:rsidRPr="00402349">
              <w:rPr>
                <w:sz w:val="24"/>
                <w:szCs w:val="24"/>
              </w:rPr>
              <w:t xml:space="preserve">Бубякина Юлия Михайловна </w:t>
            </w:r>
          </w:p>
        </w:tc>
      </w:tr>
      <w:tr w:rsidR="00D52C9D" w:rsidRPr="00451F31" w:rsidTr="00402349">
        <w:tc>
          <w:tcPr>
            <w:tcW w:w="959" w:type="dxa"/>
            <w:shd w:val="clear" w:color="auto" w:fill="auto"/>
          </w:tcPr>
          <w:p w:rsidR="00D52C9D" w:rsidRPr="00402349" w:rsidRDefault="00451F31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D52C9D" w:rsidRPr="00402349" w:rsidRDefault="00CD6529" w:rsidP="00CD652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договора, количество поставляемого товара, описание предмета закупки</w:t>
            </w:r>
          </w:p>
        </w:tc>
        <w:tc>
          <w:tcPr>
            <w:tcW w:w="4678" w:type="dxa"/>
            <w:shd w:val="clear" w:color="auto" w:fill="auto"/>
          </w:tcPr>
          <w:p w:rsidR="00451F31" w:rsidRPr="00C2533B" w:rsidRDefault="005B5C87" w:rsidP="0082618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B5C87">
              <w:rPr>
                <w:b/>
                <w:sz w:val="24"/>
                <w:szCs w:val="24"/>
              </w:rPr>
              <w:t>Оказание услуг по проведению пожарно-технического обследования (аудита) объектов ПАО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B5C87">
              <w:rPr>
                <w:b/>
                <w:sz w:val="24"/>
                <w:szCs w:val="24"/>
              </w:rPr>
              <w:t xml:space="preserve">«ТНС </w:t>
            </w:r>
            <w:proofErr w:type="spellStart"/>
            <w:r w:rsidRPr="005B5C87">
              <w:rPr>
                <w:b/>
                <w:sz w:val="24"/>
                <w:szCs w:val="24"/>
              </w:rPr>
              <w:t>энерго</w:t>
            </w:r>
            <w:proofErr w:type="spellEnd"/>
            <w:r w:rsidRPr="005B5C87">
              <w:rPr>
                <w:b/>
                <w:sz w:val="24"/>
                <w:szCs w:val="24"/>
              </w:rPr>
              <w:t xml:space="preserve"> Ярославль»</w:t>
            </w:r>
          </w:p>
          <w:p w:rsidR="001A5956" w:rsidRPr="00402349" w:rsidRDefault="001A5956" w:rsidP="0082618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52C9D" w:rsidRPr="00451F31" w:rsidTr="00402349">
        <w:tc>
          <w:tcPr>
            <w:tcW w:w="959" w:type="dxa"/>
            <w:shd w:val="clear" w:color="auto" w:fill="auto"/>
          </w:tcPr>
          <w:p w:rsidR="00D52C9D" w:rsidRPr="00402349" w:rsidRDefault="00451F31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D52C9D" w:rsidRPr="00402349" w:rsidRDefault="00451F31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4678" w:type="dxa"/>
            <w:shd w:val="clear" w:color="auto" w:fill="auto"/>
          </w:tcPr>
          <w:p w:rsidR="00D52C9D" w:rsidRPr="00BA1ED9" w:rsidRDefault="00401B2D" w:rsidP="00401B2D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01B2D">
              <w:rPr>
                <w:sz w:val="24"/>
                <w:szCs w:val="24"/>
              </w:rPr>
              <w:t xml:space="preserve"> </w:t>
            </w:r>
            <w:r w:rsidR="005B5C87">
              <w:rPr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D52C9D" w:rsidRPr="00451F31" w:rsidTr="00402349">
        <w:tc>
          <w:tcPr>
            <w:tcW w:w="959" w:type="dxa"/>
            <w:shd w:val="clear" w:color="auto" w:fill="auto"/>
          </w:tcPr>
          <w:p w:rsidR="00D52C9D" w:rsidRPr="00402349" w:rsidRDefault="00451F31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D52C9D" w:rsidRPr="00402349" w:rsidRDefault="00451F31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</w:t>
            </w:r>
            <w:r w:rsidR="007A2463">
              <w:rPr>
                <w:sz w:val="24"/>
                <w:szCs w:val="24"/>
              </w:rPr>
              <w:t>мальное значение цены договора</w:t>
            </w:r>
          </w:p>
        </w:tc>
        <w:tc>
          <w:tcPr>
            <w:tcW w:w="4678" w:type="dxa"/>
            <w:shd w:val="clear" w:color="auto" w:fill="auto"/>
          </w:tcPr>
          <w:p w:rsidR="00BB1873" w:rsidRDefault="005B5C87" w:rsidP="001A5956">
            <w:pPr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  <w:lang w:bidi="ru-RU"/>
              </w:rPr>
              <w:t>416 000,00</w:t>
            </w:r>
            <w:r w:rsidR="006245BD" w:rsidRPr="006245BD">
              <w:rPr>
                <w:b/>
                <w:sz w:val="24"/>
                <w:szCs w:val="24"/>
                <w:lang w:bidi="ru-RU"/>
              </w:rPr>
              <w:t xml:space="preserve">   </w:t>
            </w:r>
            <w:r w:rsidR="00BB1873">
              <w:rPr>
                <w:sz w:val="24"/>
                <w:szCs w:val="24"/>
                <w:lang w:bidi="ru-RU"/>
              </w:rPr>
              <w:t>рублей без учета НДС.</w:t>
            </w:r>
          </w:p>
          <w:p w:rsidR="005122B5" w:rsidRDefault="005122B5" w:rsidP="001A5956">
            <w:pPr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</w:p>
          <w:p w:rsidR="00084DF4" w:rsidRDefault="00084DF4" w:rsidP="005122B5">
            <w:pPr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 w:rsidRPr="00803432">
              <w:rPr>
                <w:sz w:val="24"/>
                <w:szCs w:val="24"/>
                <w:lang w:bidi="ru-RU"/>
              </w:rPr>
              <w:t>Цена договора</w:t>
            </w:r>
            <w:r w:rsidR="0082618E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>включает в себя все обязательные сборы, пошлины и прочие платежи</w:t>
            </w:r>
            <w:r w:rsidR="00171FB7">
              <w:rPr>
                <w:sz w:val="24"/>
                <w:szCs w:val="24"/>
                <w:lang w:bidi="ru-RU"/>
              </w:rPr>
              <w:t xml:space="preserve"> (кроме НДС)</w:t>
            </w:r>
            <w:r>
              <w:rPr>
                <w:sz w:val="24"/>
                <w:szCs w:val="24"/>
                <w:lang w:bidi="ru-RU"/>
              </w:rPr>
              <w:t xml:space="preserve">, предусмотренные законодательством РФ, расходы на транспорт, и прочие расходы, связанные с </w:t>
            </w:r>
            <w:r w:rsidR="005B5C87">
              <w:rPr>
                <w:sz w:val="24"/>
                <w:szCs w:val="24"/>
                <w:lang w:bidi="ru-RU"/>
              </w:rPr>
              <w:t>выполнением работ</w:t>
            </w:r>
            <w:r>
              <w:rPr>
                <w:sz w:val="24"/>
                <w:szCs w:val="24"/>
                <w:lang w:bidi="ru-RU"/>
              </w:rPr>
              <w:t>.</w:t>
            </w:r>
          </w:p>
          <w:p w:rsidR="005122B5" w:rsidRDefault="005122B5" w:rsidP="005122B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D52C9D" w:rsidRPr="00402349" w:rsidRDefault="00041E80" w:rsidP="005122B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</w:t>
            </w:r>
            <w:r w:rsidR="005122B5" w:rsidRPr="00BA7195">
              <w:rPr>
                <w:sz w:val="24"/>
                <w:szCs w:val="24"/>
              </w:rPr>
              <w:t>рассчитана в соответствии с Приложени</w:t>
            </w:r>
            <w:r w:rsidR="005122B5">
              <w:rPr>
                <w:sz w:val="24"/>
                <w:szCs w:val="24"/>
              </w:rPr>
              <w:t>ем</w:t>
            </w:r>
            <w:r w:rsidR="005122B5" w:rsidRPr="00BA7195">
              <w:rPr>
                <w:sz w:val="24"/>
                <w:szCs w:val="24"/>
              </w:rPr>
              <w:t xml:space="preserve"> № 8 к Положению о закупках товаров, работ, услуг ПАО «ТНС </w:t>
            </w:r>
            <w:proofErr w:type="spellStart"/>
            <w:r w:rsidR="005122B5" w:rsidRPr="00BA7195">
              <w:rPr>
                <w:sz w:val="24"/>
                <w:szCs w:val="24"/>
              </w:rPr>
              <w:t>энерго</w:t>
            </w:r>
            <w:proofErr w:type="spellEnd"/>
            <w:r w:rsidR="005122B5" w:rsidRPr="00BA7195">
              <w:rPr>
                <w:sz w:val="24"/>
                <w:szCs w:val="24"/>
              </w:rPr>
              <w:t xml:space="preserve"> Ярославль»</w:t>
            </w:r>
            <w:r w:rsidR="005122B5">
              <w:rPr>
                <w:sz w:val="24"/>
                <w:szCs w:val="24"/>
              </w:rPr>
              <w:t xml:space="preserve"> методом сопоставимых рыночных цен (анализ рынка).</w:t>
            </w:r>
          </w:p>
        </w:tc>
      </w:tr>
      <w:tr w:rsidR="000A1970" w:rsidRPr="00451F31" w:rsidTr="00402349">
        <w:tc>
          <w:tcPr>
            <w:tcW w:w="9464" w:type="dxa"/>
            <w:gridSpan w:val="3"/>
            <w:shd w:val="clear" w:color="auto" w:fill="auto"/>
          </w:tcPr>
          <w:p w:rsidR="000A1970" w:rsidRPr="00402349" w:rsidRDefault="000A1970" w:rsidP="00925E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 xml:space="preserve">6. </w:t>
            </w:r>
            <w:r w:rsidR="00925E30">
              <w:rPr>
                <w:sz w:val="24"/>
                <w:szCs w:val="24"/>
              </w:rPr>
              <w:t>Информационное обеспечение закупки</w:t>
            </w:r>
          </w:p>
        </w:tc>
      </w:tr>
      <w:tr w:rsidR="000A1970" w:rsidRPr="00451F31" w:rsidTr="00402349">
        <w:trPr>
          <w:trHeight w:val="40"/>
        </w:trPr>
        <w:tc>
          <w:tcPr>
            <w:tcW w:w="959" w:type="dxa"/>
            <w:shd w:val="clear" w:color="auto" w:fill="auto"/>
          </w:tcPr>
          <w:p w:rsidR="000A1970" w:rsidRPr="00402349" w:rsidRDefault="000A1970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6. 1.</w:t>
            </w:r>
          </w:p>
        </w:tc>
        <w:tc>
          <w:tcPr>
            <w:tcW w:w="3827" w:type="dxa"/>
            <w:shd w:val="clear" w:color="auto" w:fill="auto"/>
          </w:tcPr>
          <w:p w:rsidR="000A1970" w:rsidRPr="00402349" w:rsidRDefault="000A1970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Срок, место и порядок предоставления документации о закупке</w:t>
            </w:r>
          </w:p>
        </w:tc>
        <w:tc>
          <w:tcPr>
            <w:tcW w:w="4678" w:type="dxa"/>
            <w:shd w:val="clear" w:color="auto" w:fill="auto"/>
          </w:tcPr>
          <w:p w:rsidR="000A1970" w:rsidRPr="00402349" w:rsidRDefault="000A1970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 xml:space="preserve">Извещение </w:t>
            </w:r>
            <w:r w:rsidR="00925E30">
              <w:rPr>
                <w:sz w:val="24"/>
                <w:szCs w:val="24"/>
              </w:rPr>
              <w:t xml:space="preserve">размещено </w:t>
            </w:r>
            <w:r w:rsidRPr="00402349">
              <w:rPr>
                <w:sz w:val="24"/>
                <w:szCs w:val="24"/>
              </w:rPr>
              <w:t xml:space="preserve">на Единой электронной торговой площадке </w:t>
            </w:r>
            <w:hyperlink r:id="rId9" w:history="1">
              <w:r w:rsidR="005B5C87" w:rsidRPr="00DF0E23">
                <w:rPr>
                  <w:rStyle w:val="a9"/>
                </w:rPr>
                <w:t>https://click.etpgpb.ru/</w:t>
              </w:r>
            </w:hyperlink>
            <w:r w:rsidR="005B5C87">
              <w:t xml:space="preserve"> </w:t>
            </w:r>
            <w:r w:rsidR="00B33DD7">
              <w:rPr>
                <w:sz w:val="24"/>
                <w:szCs w:val="24"/>
              </w:rPr>
              <w:t xml:space="preserve">  </w:t>
            </w:r>
            <w:r w:rsidRPr="00402349">
              <w:rPr>
                <w:sz w:val="24"/>
                <w:szCs w:val="24"/>
              </w:rPr>
              <w:t>(далее – ЭТП)</w:t>
            </w:r>
          </w:p>
          <w:p w:rsidR="005F27FA" w:rsidRPr="00402349" w:rsidRDefault="005F27FA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Плата за предоставление Извещения</w:t>
            </w:r>
            <w:r w:rsidR="00222EFA" w:rsidRPr="00402349">
              <w:rPr>
                <w:sz w:val="24"/>
                <w:szCs w:val="24"/>
              </w:rPr>
              <w:t xml:space="preserve"> </w:t>
            </w:r>
            <w:r w:rsidRPr="00402349">
              <w:rPr>
                <w:sz w:val="24"/>
                <w:szCs w:val="24"/>
              </w:rPr>
              <w:t xml:space="preserve">не взымается. </w:t>
            </w:r>
          </w:p>
          <w:p w:rsidR="002E4C6F" w:rsidRPr="00402349" w:rsidRDefault="00085C43" w:rsidP="008C263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  <w:r w:rsidR="002E4C6F" w:rsidRPr="00402349">
              <w:rPr>
                <w:sz w:val="24"/>
                <w:szCs w:val="24"/>
              </w:rPr>
              <w:t xml:space="preserve"> проводится в соответствии с регламентом работы функционала </w:t>
            </w:r>
            <w:r w:rsidR="008C2630">
              <w:rPr>
                <w:sz w:val="24"/>
                <w:szCs w:val="24"/>
              </w:rPr>
              <w:t xml:space="preserve"> ЭТП.</w:t>
            </w:r>
          </w:p>
        </w:tc>
      </w:tr>
      <w:tr w:rsidR="005F27FA" w:rsidRPr="00451F31" w:rsidTr="00402349">
        <w:trPr>
          <w:trHeight w:val="37"/>
        </w:trPr>
        <w:tc>
          <w:tcPr>
            <w:tcW w:w="9464" w:type="dxa"/>
            <w:gridSpan w:val="3"/>
            <w:shd w:val="clear" w:color="auto" w:fill="auto"/>
          </w:tcPr>
          <w:p w:rsidR="005F27FA" w:rsidRPr="00FB3727" w:rsidRDefault="005F27FA" w:rsidP="00925E30">
            <w:pPr>
              <w:tabs>
                <w:tab w:val="left" w:pos="927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7. Порядок, дата начала, дата и время окончания срока подачи заявок на участие в закупке и порядок подведе</w:t>
            </w:r>
            <w:r w:rsidR="00FB3727">
              <w:rPr>
                <w:sz w:val="24"/>
                <w:szCs w:val="24"/>
              </w:rPr>
              <w:t>ния итогов закупки</w:t>
            </w:r>
          </w:p>
        </w:tc>
      </w:tr>
      <w:tr w:rsidR="000A1970" w:rsidRPr="00451F31" w:rsidTr="00402349">
        <w:trPr>
          <w:trHeight w:val="37"/>
        </w:trPr>
        <w:tc>
          <w:tcPr>
            <w:tcW w:w="959" w:type="dxa"/>
            <w:shd w:val="clear" w:color="auto" w:fill="auto"/>
          </w:tcPr>
          <w:p w:rsidR="000A1970" w:rsidRPr="00402349" w:rsidRDefault="005F27FA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7.1.</w:t>
            </w:r>
          </w:p>
        </w:tc>
        <w:tc>
          <w:tcPr>
            <w:tcW w:w="3827" w:type="dxa"/>
            <w:shd w:val="clear" w:color="auto" w:fill="auto"/>
          </w:tcPr>
          <w:p w:rsidR="000A1970" w:rsidRPr="00402349" w:rsidRDefault="005F27FA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Дата начала подачи заявок</w:t>
            </w:r>
          </w:p>
        </w:tc>
        <w:tc>
          <w:tcPr>
            <w:tcW w:w="4678" w:type="dxa"/>
            <w:shd w:val="clear" w:color="auto" w:fill="auto"/>
          </w:tcPr>
          <w:p w:rsidR="000A1970" w:rsidRPr="00402349" w:rsidRDefault="005F27FA" w:rsidP="008450C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68F4">
              <w:rPr>
                <w:sz w:val="24"/>
                <w:szCs w:val="24"/>
              </w:rPr>
              <w:t xml:space="preserve"> </w:t>
            </w:r>
            <w:r w:rsidR="0047590A" w:rsidRPr="00646EE4">
              <w:rPr>
                <w:b/>
                <w:sz w:val="24"/>
                <w:szCs w:val="24"/>
              </w:rPr>
              <w:t>«</w:t>
            </w:r>
            <w:r w:rsidR="005B5C87">
              <w:rPr>
                <w:b/>
                <w:sz w:val="24"/>
                <w:szCs w:val="24"/>
              </w:rPr>
              <w:t>27</w:t>
            </w:r>
            <w:r w:rsidR="00222EFA" w:rsidRPr="00646EE4">
              <w:rPr>
                <w:b/>
                <w:sz w:val="24"/>
                <w:szCs w:val="24"/>
              </w:rPr>
              <w:t>»</w:t>
            </w:r>
            <w:r w:rsidR="009A51F0" w:rsidRPr="00646EE4">
              <w:rPr>
                <w:b/>
                <w:sz w:val="24"/>
                <w:szCs w:val="24"/>
              </w:rPr>
              <w:t xml:space="preserve"> </w:t>
            </w:r>
            <w:r w:rsidR="005B5C87">
              <w:rPr>
                <w:b/>
                <w:sz w:val="24"/>
                <w:szCs w:val="24"/>
              </w:rPr>
              <w:t>июня</w:t>
            </w:r>
            <w:r w:rsidR="009A51F0" w:rsidRPr="00646EE4">
              <w:rPr>
                <w:b/>
                <w:sz w:val="24"/>
                <w:szCs w:val="24"/>
              </w:rPr>
              <w:t xml:space="preserve"> </w:t>
            </w:r>
            <w:r w:rsidR="0047590A" w:rsidRPr="00646EE4">
              <w:rPr>
                <w:b/>
                <w:sz w:val="24"/>
                <w:szCs w:val="24"/>
              </w:rPr>
              <w:t>202</w:t>
            </w:r>
            <w:r w:rsidR="00237ABE">
              <w:rPr>
                <w:b/>
                <w:sz w:val="24"/>
                <w:szCs w:val="24"/>
              </w:rPr>
              <w:t>5</w:t>
            </w:r>
            <w:r w:rsidR="0047590A" w:rsidRPr="00646EE4">
              <w:rPr>
                <w:sz w:val="24"/>
                <w:szCs w:val="24"/>
              </w:rPr>
              <w:t xml:space="preserve"> </w:t>
            </w:r>
            <w:r w:rsidR="0047590A" w:rsidRPr="00646EE4">
              <w:rPr>
                <w:b/>
                <w:sz w:val="24"/>
                <w:szCs w:val="24"/>
              </w:rPr>
              <w:t>года</w:t>
            </w:r>
            <w:r w:rsidR="0047590A" w:rsidRPr="0040234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A1970" w:rsidRPr="00451F31" w:rsidTr="00402349">
        <w:trPr>
          <w:trHeight w:val="37"/>
        </w:trPr>
        <w:tc>
          <w:tcPr>
            <w:tcW w:w="959" w:type="dxa"/>
            <w:shd w:val="clear" w:color="auto" w:fill="auto"/>
          </w:tcPr>
          <w:p w:rsidR="000A1970" w:rsidRPr="00402349" w:rsidRDefault="0047590A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7.2.</w:t>
            </w:r>
          </w:p>
        </w:tc>
        <w:tc>
          <w:tcPr>
            <w:tcW w:w="3827" w:type="dxa"/>
            <w:shd w:val="clear" w:color="auto" w:fill="auto"/>
          </w:tcPr>
          <w:p w:rsidR="0047590A" w:rsidRPr="00402349" w:rsidRDefault="0047590A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 xml:space="preserve">Дата и время окончания срока </w:t>
            </w:r>
          </w:p>
          <w:p w:rsidR="000A1970" w:rsidRPr="00402349" w:rsidRDefault="0047590A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подачи заявок</w:t>
            </w:r>
            <w:r w:rsidR="00E215DA">
              <w:rPr>
                <w:sz w:val="24"/>
                <w:szCs w:val="24"/>
              </w:rPr>
              <w:t>, подведение итогов</w:t>
            </w:r>
          </w:p>
        </w:tc>
        <w:tc>
          <w:tcPr>
            <w:tcW w:w="4678" w:type="dxa"/>
            <w:shd w:val="clear" w:color="auto" w:fill="auto"/>
          </w:tcPr>
          <w:p w:rsidR="000A1970" w:rsidRDefault="0047590A" w:rsidP="00925E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46EE4">
              <w:rPr>
                <w:b/>
                <w:sz w:val="24"/>
                <w:szCs w:val="24"/>
              </w:rPr>
              <w:t>«</w:t>
            </w:r>
            <w:r w:rsidR="005B5C87">
              <w:rPr>
                <w:b/>
                <w:sz w:val="24"/>
                <w:szCs w:val="24"/>
              </w:rPr>
              <w:t>04</w:t>
            </w:r>
            <w:r w:rsidRPr="00646EE4">
              <w:rPr>
                <w:b/>
                <w:sz w:val="24"/>
                <w:szCs w:val="24"/>
              </w:rPr>
              <w:t>»</w:t>
            </w:r>
            <w:r w:rsidR="00970769" w:rsidRPr="00646EE4">
              <w:rPr>
                <w:b/>
                <w:sz w:val="24"/>
                <w:szCs w:val="24"/>
              </w:rPr>
              <w:t xml:space="preserve"> </w:t>
            </w:r>
            <w:r w:rsidR="005B5C87">
              <w:rPr>
                <w:b/>
                <w:sz w:val="24"/>
                <w:szCs w:val="24"/>
              </w:rPr>
              <w:t>июля</w:t>
            </w:r>
            <w:r w:rsidR="00BB1873">
              <w:rPr>
                <w:b/>
                <w:sz w:val="24"/>
                <w:szCs w:val="24"/>
              </w:rPr>
              <w:t xml:space="preserve"> </w:t>
            </w:r>
            <w:r w:rsidRPr="00646EE4">
              <w:rPr>
                <w:b/>
                <w:sz w:val="24"/>
                <w:szCs w:val="24"/>
              </w:rPr>
              <w:t>202</w:t>
            </w:r>
            <w:r w:rsidR="00237ABE">
              <w:rPr>
                <w:b/>
                <w:sz w:val="24"/>
                <w:szCs w:val="24"/>
              </w:rPr>
              <w:t>5</w:t>
            </w:r>
            <w:r w:rsidRPr="00646EE4">
              <w:rPr>
                <w:b/>
                <w:sz w:val="24"/>
                <w:szCs w:val="24"/>
              </w:rPr>
              <w:t xml:space="preserve"> года</w:t>
            </w:r>
            <w:r w:rsidRPr="00646EE4">
              <w:rPr>
                <w:sz w:val="24"/>
                <w:szCs w:val="24"/>
              </w:rPr>
              <w:t xml:space="preserve"> </w:t>
            </w:r>
            <w:r w:rsidRPr="00646EE4">
              <w:rPr>
                <w:b/>
                <w:sz w:val="24"/>
                <w:szCs w:val="24"/>
              </w:rPr>
              <w:t>10:00</w:t>
            </w:r>
            <w:r w:rsidRPr="00646EE4">
              <w:rPr>
                <w:sz w:val="24"/>
                <w:szCs w:val="24"/>
              </w:rPr>
              <w:t xml:space="preserve"> время московское</w:t>
            </w:r>
            <w:r w:rsidRPr="00402349">
              <w:rPr>
                <w:sz w:val="24"/>
                <w:szCs w:val="24"/>
              </w:rPr>
              <w:t xml:space="preserve"> </w:t>
            </w:r>
          </w:p>
          <w:p w:rsidR="00171FB7" w:rsidRPr="00084DF4" w:rsidRDefault="005B5C87" w:rsidP="008450CD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«08» июля 2025 года</w:t>
            </w:r>
          </w:p>
        </w:tc>
      </w:tr>
      <w:tr w:rsidR="00013BFB" w:rsidRPr="00451F31" w:rsidTr="00402349">
        <w:trPr>
          <w:trHeight w:val="75"/>
        </w:trPr>
        <w:tc>
          <w:tcPr>
            <w:tcW w:w="959" w:type="dxa"/>
            <w:shd w:val="clear" w:color="auto" w:fill="auto"/>
          </w:tcPr>
          <w:p w:rsidR="00013BFB" w:rsidRPr="00402349" w:rsidRDefault="00D3117B" w:rsidP="00925E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7.</w:t>
            </w:r>
            <w:r w:rsidR="00925E30">
              <w:rPr>
                <w:sz w:val="24"/>
                <w:szCs w:val="24"/>
              </w:rPr>
              <w:t>3</w:t>
            </w:r>
            <w:r w:rsidR="008C2630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13BFB" w:rsidRPr="00402349" w:rsidRDefault="00013BFB" w:rsidP="00925E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 xml:space="preserve">Место </w:t>
            </w:r>
            <w:r w:rsidR="00925E30">
              <w:rPr>
                <w:sz w:val="24"/>
                <w:szCs w:val="24"/>
              </w:rPr>
              <w:t>подведения итогов</w:t>
            </w:r>
            <w:r w:rsidRPr="00402349">
              <w:rPr>
                <w:sz w:val="24"/>
                <w:szCs w:val="24"/>
              </w:rPr>
              <w:t xml:space="preserve"> закупки</w:t>
            </w:r>
          </w:p>
        </w:tc>
        <w:tc>
          <w:tcPr>
            <w:tcW w:w="4678" w:type="dxa"/>
            <w:shd w:val="clear" w:color="auto" w:fill="auto"/>
          </w:tcPr>
          <w:p w:rsidR="00013BFB" w:rsidRPr="00402349" w:rsidRDefault="00013BFB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г. Ярославль, проспект Ленина, д.21Б</w:t>
            </w:r>
          </w:p>
        </w:tc>
      </w:tr>
      <w:tr w:rsidR="00CD6529" w:rsidRPr="00451F31" w:rsidTr="00CD6529">
        <w:trPr>
          <w:trHeight w:val="1749"/>
        </w:trPr>
        <w:tc>
          <w:tcPr>
            <w:tcW w:w="959" w:type="dxa"/>
            <w:shd w:val="clear" w:color="auto" w:fill="auto"/>
          </w:tcPr>
          <w:p w:rsidR="00CD6529" w:rsidRPr="00402349" w:rsidRDefault="00CD6529" w:rsidP="00925E3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lastRenderedPageBreak/>
              <w:t>7.</w:t>
            </w:r>
            <w:r w:rsidR="00925E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D6529" w:rsidRPr="00402349" w:rsidRDefault="00CD6529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Порядок подачи заявки</w:t>
            </w:r>
          </w:p>
        </w:tc>
        <w:tc>
          <w:tcPr>
            <w:tcW w:w="4678" w:type="dxa"/>
            <w:shd w:val="clear" w:color="auto" w:fill="auto"/>
          </w:tcPr>
          <w:p w:rsidR="00CD6529" w:rsidRPr="00402349" w:rsidRDefault="00CD6529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 xml:space="preserve">Заявки принимаются до срока окончания (даты и времени окончания) подачи заявок, установленного Извещением. </w:t>
            </w:r>
          </w:p>
          <w:p w:rsidR="00CD6529" w:rsidRPr="00402349" w:rsidRDefault="00CD6529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 xml:space="preserve">Заявки подаются по форме и в порядке, </w:t>
            </w:r>
            <w:r w:rsidRPr="00EE05C5">
              <w:rPr>
                <w:sz w:val="24"/>
                <w:szCs w:val="24"/>
              </w:rPr>
              <w:t>установленны</w:t>
            </w:r>
            <w:r w:rsidR="00085C43">
              <w:rPr>
                <w:sz w:val="24"/>
                <w:szCs w:val="24"/>
              </w:rPr>
              <w:t>е</w:t>
            </w:r>
            <w:r w:rsidRPr="00EE05C5">
              <w:rPr>
                <w:sz w:val="24"/>
                <w:szCs w:val="24"/>
              </w:rPr>
              <w:t xml:space="preserve"> </w:t>
            </w:r>
            <w:r w:rsidR="00925E30">
              <w:rPr>
                <w:sz w:val="24"/>
                <w:szCs w:val="24"/>
              </w:rPr>
              <w:t>в приложении  к настоящему извещению</w:t>
            </w:r>
            <w:r w:rsidRPr="00EE05C5">
              <w:rPr>
                <w:sz w:val="24"/>
                <w:szCs w:val="24"/>
              </w:rPr>
              <w:t>.</w:t>
            </w:r>
          </w:p>
          <w:p w:rsidR="00CD6529" w:rsidRPr="00402349" w:rsidRDefault="00CD6529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Участник вправе изменить или отозвать свою заявку до истечения срока подачи заявок на участие в закупке.</w:t>
            </w:r>
          </w:p>
          <w:p w:rsidR="00CD6529" w:rsidRPr="00402349" w:rsidRDefault="00CD6529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Подача заявок участниками закупки и направление их Заказчику осуществляется в соответствии с требованиями действующего законодательства и регламентом работы ЭТП.</w:t>
            </w:r>
            <w:r>
              <w:t xml:space="preserve"> </w:t>
            </w:r>
            <w:r w:rsidRPr="00402349">
              <w:rPr>
                <w:sz w:val="24"/>
                <w:szCs w:val="24"/>
              </w:rPr>
              <w:t xml:space="preserve">Участник </w:t>
            </w:r>
            <w:r w:rsidR="00925E30">
              <w:rPr>
                <w:sz w:val="24"/>
                <w:szCs w:val="24"/>
              </w:rPr>
              <w:t>закупки</w:t>
            </w:r>
            <w:r w:rsidRPr="00402349">
              <w:rPr>
                <w:sz w:val="24"/>
                <w:szCs w:val="24"/>
              </w:rPr>
              <w:t xml:space="preserve"> может подать только одну заявку.</w:t>
            </w:r>
            <w:r>
              <w:t xml:space="preserve"> </w:t>
            </w:r>
            <w:r w:rsidR="00925E30">
              <w:rPr>
                <w:sz w:val="24"/>
                <w:szCs w:val="24"/>
              </w:rPr>
              <w:t>Участник</w:t>
            </w:r>
            <w:r w:rsidRPr="00402349">
              <w:rPr>
                <w:sz w:val="24"/>
                <w:szCs w:val="24"/>
              </w:rPr>
              <w:t xml:space="preserve"> вправе изменить или отозвать свою заявку до истечения срока под</w:t>
            </w:r>
            <w:r w:rsidR="00925E30">
              <w:rPr>
                <w:sz w:val="24"/>
                <w:szCs w:val="24"/>
              </w:rPr>
              <w:t xml:space="preserve">ачи заявок. Заявка на участие </w:t>
            </w:r>
            <w:r w:rsidRPr="00402349">
              <w:rPr>
                <w:sz w:val="24"/>
                <w:szCs w:val="24"/>
              </w:rPr>
              <w:t xml:space="preserve">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</w:t>
            </w:r>
            <w:r w:rsidR="00925E30">
              <w:rPr>
                <w:sz w:val="24"/>
                <w:szCs w:val="24"/>
              </w:rPr>
              <w:t>закупке</w:t>
            </w:r>
            <w:r w:rsidRPr="00402349">
              <w:rPr>
                <w:sz w:val="24"/>
                <w:szCs w:val="24"/>
              </w:rPr>
              <w:t>.</w:t>
            </w:r>
          </w:p>
          <w:p w:rsidR="00CD6529" w:rsidRPr="00402349" w:rsidRDefault="00CD6529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D6529" w:rsidRPr="00451F31" w:rsidTr="00CD6529">
        <w:trPr>
          <w:trHeight w:val="598"/>
        </w:trPr>
        <w:tc>
          <w:tcPr>
            <w:tcW w:w="959" w:type="dxa"/>
            <w:shd w:val="clear" w:color="auto" w:fill="auto"/>
          </w:tcPr>
          <w:p w:rsidR="00CD6529" w:rsidRPr="00402349" w:rsidRDefault="00CD6529" w:rsidP="00925E3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925E3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D6529" w:rsidRPr="00402349" w:rsidRDefault="00CD6529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подведения итогов</w:t>
            </w:r>
          </w:p>
        </w:tc>
        <w:tc>
          <w:tcPr>
            <w:tcW w:w="4678" w:type="dxa"/>
            <w:shd w:val="clear" w:color="auto" w:fill="auto"/>
          </w:tcPr>
          <w:p w:rsidR="00925E30" w:rsidRDefault="00085C43" w:rsidP="00085C4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определяется на основании только одного </w:t>
            </w:r>
            <w:r w:rsidR="00925E30">
              <w:rPr>
                <w:sz w:val="24"/>
                <w:szCs w:val="24"/>
              </w:rPr>
              <w:t>крите</w:t>
            </w:r>
            <w:r>
              <w:rPr>
                <w:sz w:val="24"/>
                <w:szCs w:val="24"/>
              </w:rPr>
              <w:t>рия</w:t>
            </w:r>
            <w:r w:rsidR="00925E30">
              <w:rPr>
                <w:sz w:val="24"/>
                <w:szCs w:val="24"/>
              </w:rPr>
              <w:t xml:space="preserve"> – цена договора.</w:t>
            </w:r>
          </w:p>
          <w:p w:rsidR="00085C43" w:rsidRPr="00402349" w:rsidRDefault="00085C43" w:rsidP="00085C4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случае, если поступили предложения с одинаковым ценовым предложением - победителем становится участник, заявка которого поступила  ранее других заявок. </w:t>
            </w:r>
          </w:p>
        </w:tc>
      </w:tr>
      <w:tr w:rsidR="006324D6" w:rsidRPr="00451F31" w:rsidTr="006324D6">
        <w:trPr>
          <w:trHeight w:val="71"/>
        </w:trPr>
        <w:tc>
          <w:tcPr>
            <w:tcW w:w="959" w:type="dxa"/>
            <w:shd w:val="clear" w:color="auto" w:fill="auto"/>
          </w:tcPr>
          <w:p w:rsidR="006324D6" w:rsidRPr="00402349" w:rsidRDefault="006324D6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:rsidR="006324D6" w:rsidRPr="00402349" w:rsidRDefault="006324D6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2349">
              <w:rPr>
                <w:sz w:val="24"/>
                <w:szCs w:val="24"/>
              </w:rPr>
              <w:t>Особенности участия</w:t>
            </w:r>
          </w:p>
        </w:tc>
        <w:tc>
          <w:tcPr>
            <w:tcW w:w="4678" w:type="dxa"/>
            <w:shd w:val="clear" w:color="auto" w:fill="auto"/>
          </w:tcPr>
          <w:p w:rsidR="006324D6" w:rsidRPr="00402349" w:rsidRDefault="006324D6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предусмотрены</w:t>
            </w:r>
          </w:p>
        </w:tc>
      </w:tr>
      <w:tr w:rsidR="00A34110" w:rsidRPr="00451F31" w:rsidTr="00A34110">
        <w:trPr>
          <w:trHeight w:val="458"/>
        </w:trPr>
        <w:tc>
          <w:tcPr>
            <w:tcW w:w="959" w:type="dxa"/>
            <w:shd w:val="clear" w:color="auto" w:fill="auto"/>
          </w:tcPr>
          <w:p w:rsidR="00A34110" w:rsidRDefault="00085C43" w:rsidP="0040234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shd w:val="clear" w:color="auto" w:fill="auto"/>
          </w:tcPr>
          <w:p w:rsidR="00A34110" w:rsidRDefault="00085C43" w:rsidP="00A633E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договора</w:t>
            </w:r>
          </w:p>
        </w:tc>
        <w:tc>
          <w:tcPr>
            <w:tcW w:w="4678" w:type="dxa"/>
            <w:shd w:val="clear" w:color="auto" w:fill="auto"/>
          </w:tcPr>
          <w:p w:rsidR="005B5C87" w:rsidRDefault="005B5C87" w:rsidP="00085C4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может быть заключен в любой форме. срок заключения договора не более 10 дней со дня подведения итогов. </w:t>
            </w:r>
          </w:p>
          <w:p w:rsidR="005B5C87" w:rsidRDefault="005B5C87" w:rsidP="00085C4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34110" w:rsidRDefault="00085C43" w:rsidP="00085C4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5C43">
              <w:rPr>
                <w:sz w:val="24"/>
                <w:szCs w:val="24"/>
              </w:rPr>
              <w:t>Для Заказчика: заключение договора по итогам Закупки не является обязательным</w:t>
            </w:r>
            <w:r>
              <w:rPr>
                <w:sz w:val="24"/>
                <w:szCs w:val="24"/>
              </w:rPr>
              <w:t>.</w:t>
            </w:r>
          </w:p>
          <w:p w:rsidR="00085C43" w:rsidRDefault="00085C43" w:rsidP="00085C4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5C43">
              <w:rPr>
                <w:sz w:val="24"/>
                <w:szCs w:val="24"/>
              </w:rPr>
              <w:t>Заказчик может принять решение о заключении договора с участником Закупки, заявке которого присвоен следующий порядковый номер после победителя закупки, в случае уклонения победителя закупки от заключения договора.</w:t>
            </w:r>
          </w:p>
          <w:p w:rsidR="00085C43" w:rsidRDefault="00085C43" w:rsidP="00085C4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5C43">
              <w:rPr>
                <w:sz w:val="24"/>
                <w:szCs w:val="24"/>
              </w:rPr>
              <w:t xml:space="preserve">Если Закупка признана несостоявшейся в связи с принятием решения Закупочной комиссией о допуске только одного участника закупки, Закупочная комиссия вправе принять решение о проведении повторной закупки таким же способом с изменением, либо без изменения условий закупки (не считая сроков проведения закупки). </w:t>
            </w:r>
          </w:p>
          <w:p w:rsidR="009846C5" w:rsidRDefault="009846C5" w:rsidP="00085C4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заявок на участие в закупке не поступило Заказчик вправе продлить прием заявок. </w:t>
            </w:r>
          </w:p>
        </w:tc>
      </w:tr>
    </w:tbl>
    <w:p w:rsidR="00D52C9D" w:rsidRDefault="00D52C9D" w:rsidP="00D52C9D"/>
    <w:p w:rsidR="00D52C9D" w:rsidRDefault="00085C43" w:rsidP="00D52C9D">
      <w:r w:rsidRPr="00D06B2B">
        <w:rPr>
          <w:b/>
        </w:rPr>
        <w:t>Прочие условия закупки</w:t>
      </w:r>
      <w:r>
        <w:t>:</w:t>
      </w:r>
    </w:p>
    <w:p w:rsidR="00085C43" w:rsidRDefault="00085C43" w:rsidP="006A21CD">
      <w:pPr>
        <w:ind w:firstLine="0"/>
      </w:pPr>
      <w:r>
        <w:t>Требования к участникам закупки:</w:t>
      </w:r>
    </w:p>
    <w:p w:rsidR="00085C43" w:rsidRPr="00085C43" w:rsidRDefault="00085C43" w:rsidP="00085C43">
      <w:pPr>
        <w:spacing w:line="240" w:lineRule="auto"/>
        <w:ind w:firstLine="708"/>
        <w:rPr>
          <w:rFonts w:eastAsia="Calibri"/>
          <w:bCs/>
          <w:snapToGrid/>
          <w:sz w:val="24"/>
          <w:szCs w:val="24"/>
          <w:lang w:eastAsia="en-US"/>
        </w:rPr>
      </w:pPr>
      <w:r w:rsidRPr="00085C43">
        <w:rPr>
          <w:rFonts w:eastAsia="Calibri"/>
          <w:bCs/>
          <w:snapToGrid/>
          <w:sz w:val="24"/>
          <w:szCs w:val="24"/>
          <w:lang w:eastAsia="en-US"/>
        </w:rPr>
        <w:t>Участником Закупки может являться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за исключением физического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влиянием".</w:t>
      </w:r>
    </w:p>
    <w:p w:rsidR="00085C43" w:rsidRPr="00085C43" w:rsidRDefault="00085C43" w:rsidP="00085C43">
      <w:pPr>
        <w:spacing w:line="240" w:lineRule="auto"/>
        <w:ind w:firstLine="708"/>
        <w:rPr>
          <w:rFonts w:eastAsia="Calibri"/>
          <w:snapToGrid/>
          <w:sz w:val="24"/>
          <w:szCs w:val="24"/>
          <w:lang w:eastAsia="en-US"/>
        </w:rPr>
      </w:pPr>
      <w:r w:rsidRPr="00085C43">
        <w:rPr>
          <w:rFonts w:eastAsia="Calibri"/>
          <w:snapToGrid/>
          <w:sz w:val="24"/>
          <w:szCs w:val="24"/>
          <w:lang w:eastAsia="en-US"/>
        </w:rPr>
        <w:t>В случае, если несколько юридических лиц, физических лиц (в том числе индивидуальных предпринимателей) выступают на стороне одного участника Закупки, требования к исполнению договора, установленные Заказчиком в настоящ</w:t>
      </w:r>
      <w:r w:rsidR="00D06B2B">
        <w:rPr>
          <w:rFonts w:eastAsia="Calibri"/>
          <w:snapToGrid/>
          <w:sz w:val="24"/>
          <w:szCs w:val="24"/>
          <w:lang w:eastAsia="en-US"/>
        </w:rPr>
        <w:t>ем</w:t>
      </w:r>
      <w:r w:rsidRPr="00085C43">
        <w:rPr>
          <w:rFonts w:eastAsia="Calibri"/>
          <w:snapToGrid/>
          <w:sz w:val="24"/>
          <w:szCs w:val="24"/>
          <w:lang w:eastAsia="en-US"/>
        </w:rPr>
        <w:t xml:space="preserve"> </w:t>
      </w:r>
      <w:r w:rsidR="00D06B2B">
        <w:rPr>
          <w:rFonts w:eastAsia="Calibri"/>
          <w:snapToGrid/>
          <w:sz w:val="24"/>
          <w:szCs w:val="24"/>
          <w:lang w:eastAsia="en-US"/>
        </w:rPr>
        <w:t>извещении</w:t>
      </w:r>
      <w:r w:rsidRPr="00085C43">
        <w:rPr>
          <w:rFonts w:eastAsia="Calibri"/>
          <w:snapToGrid/>
          <w:sz w:val="24"/>
          <w:szCs w:val="24"/>
          <w:lang w:eastAsia="en-US"/>
        </w:rPr>
        <w:t xml:space="preserve"> к участникам Закупки, предъявляются в совокупности к такой группе лиц. При оценке количественных параметров деятельности такого участника эти параметры суммируются. Не подлежащие суммированию показатели должны быть в наличии хотя бы у одного лица, выступающего на стороне одного участника.</w:t>
      </w:r>
    </w:p>
    <w:p w:rsidR="00085C43" w:rsidRPr="00085C43" w:rsidRDefault="00085C43" w:rsidP="00085C43">
      <w:pPr>
        <w:spacing w:line="240" w:lineRule="auto"/>
        <w:ind w:firstLine="708"/>
        <w:rPr>
          <w:rFonts w:eastAsia="Calibri"/>
          <w:snapToGrid/>
          <w:sz w:val="24"/>
          <w:szCs w:val="24"/>
          <w:lang w:eastAsia="en-US"/>
        </w:rPr>
      </w:pPr>
      <w:r w:rsidRPr="00085C43">
        <w:rPr>
          <w:rFonts w:eastAsia="Calibri"/>
          <w:snapToGrid/>
          <w:sz w:val="24"/>
          <w:szCs w:val="24"/>
          <w:lang w:eastAsia="en-US"/>
        </w:rPr>
        <w:t>Члены объединений, являющихся коллективными участниками Закупки, должны иметь соглашение между собой (иной документ), соответствующее нормам Гражданского кодекса Российской Федерации, в котором определены права и обязанности сторон и установлен лидер коллективного участника.</w:t>
      </w:r>
    </w:p>
    <w:p w:rsidR="00085C43" w:rsidRPr="00085C43" w:rsidRDefault="00085C43" w:rsidP="00085C43">
      <w:pPr>
        <w:spacing w:line="240" w:lineRule="auto"/>
        <w:ind w:firstLine="708"/>
        <w:rPr>
          <w:rFonts w:eastAsia="Calibri"/>
          <w:snapToGrid/>
          <w:sz w:val="24"/>
          <w:szCs w:val="24"/>
          <w:lang w:eastAsia="en-US"/>
        </w:rPr>
      </w:pPr>
      <w:r w:rsidRPr="00085C43">
        <w:rPr>
          <w:rFonts w:eastAsia="Calibri"/>
          <w:snapToGrid/>
          <w:sz w:val="24"/>
          <w:szCs w:val="24"/>
          <w:lang w:eastAsia="en-US"/>
        </w:rPr>
        <w:t>Участнику Закупки в электронной форме для участия в закупке необходимо получить аккредитацию на электронной площадке в порядке, установленном оператором электронной площадки.</w:t>
      </w:r>
    </w:p>
    <w:p w:rsidR="00085C43" w:rsidRPr="00085C43" w:rsidRDefault="00085C43" w:rsidP="00085C43">
      <w:pPr>
        <w:spacing w:line="240" w:lineRule="auto"/>
        <w:ind w:firstLine="0"/>
        <w:jc w:val="left"/>
        <w:rPr>
          <w:rFonts w:eastAsia="Calibri"/>
          <w:snapToGrid/>
          <w:sz w:val="24"/>
          <w:szCs w:val="24"/>
          <w:lang w:eastAsia="en-US"/>
        </w:rPr>
      </w:pPr>
    </w:p>
    <w:p w:rsidR="00085C43" w:rsidRPr="00085C43" w:rsidRDefault="00085C43" w:rsidP="00085C43">
      <w:pPr>
        <w:spacing w:line="240" w:lineRule="auto"/>
        <w:ind w:firstLine="0"/>
        <w:jc w:val="left"/>
        <w:rPr>
          <w:rFonts w:eastAsia="Calibri"/>
          <w:b/>
          <w:i/>
          <w:snapToGrid/>
          <w:sz w:val="24"/>
          <w:szCs w:val="24"/>
          <w:lang w:eastAsia="en-US"/>
        </w:rPr>
      </w:pPr>
      <w:r w:rsidRPr="00085C43">
        <w:rPr>
          <w:rFonts w:eastAsia="Calibri"/>
          <w:b/>
          <w:i/>
          <w:snapToGrid/>
          <w:sz w:val="24"/>
          <w:szCs w:val="24"/>
          <w:lang w:eastAsia="en-US"/>
        </w:rPr>
        <w:t>Для участия в Закупке участник должен соответствовать следующим требованиям:</w:t>
      </w:r>
    </w:p>
    <w:p w:rsidR="00085C43" w:rsidRPr="00085C43" w:rsidRDefault="00085C43" w:rsidP="00085C43">
      <w:pPr>
        <w:spacing w:line="240" w:lineRule="auto"/>
        <w:ind w:firstLine="0"/>
        <w:jc w:val="left"/>
        <w:rPr>
          <w:rFonts w:eastAsia="Calibri"/>
          <w:b/>
          <w:i/>
          <w:snapToGrid/>
          <w:sz w:val="24"/>
          <w:szCs w:val="24"/>
          <w:lang w:eastAsia="en-US"/>
        </w:rPr>
      </w:pPr>
    </w:p>
    <w:p w:rsidR="00085C43" w:rsidRPr="00085C43" w:rsidRDefault="00085C43" w:rsidP="00085C43">
      <w:pPr>
        <w:numPr>
          <w:ilvl w:val="0"/>
          <w:numId w:val="43"/>
        </w:numPr>
        <w:spacing w:after="200" w:line="240" w:lineRule="auto"/>
        <w:ind w:left="0" w:firstLine="0"/>
        <w:jc w:val="left"/>
        <w:rPr>
          <w:rFonts w:eastAsia="Calibri"/>
          <w:snapToGrid/>
          <w:sz w:val="24"/>
          <w:szCs w:val="24"/>
          <w:lang w:eastAsia="en-US"/>
        </w:rPr>
      </w:pPr>
      <w:r w:rsidRPr="00085C43">
        <w:rPr>
          <w:rFonts w:eastAsia="Calibri"/>
          <w:snapToGrid/>
          <w:sz w:val="24"/>
          <w:szCs w:val="24"/>
          <w:lang w:eastAsia="en-US"/>
        </w:rPr>
        <w:t>участник закупки не находится в процессе ликвидации, реорганизации (в форме, не предусматривающей наличие правопреемника по всем правам и обязанностям) (для участника - юридического лица), не признан по решению арбитражного суда несостоятельным (банкротом) (для участника - как юридического лица или индивидуального предпринимателя, самозанятого, так и физического лица);</w:t>
      </w:r>
    </w:p>
    <w:p w:rsidR="00085C43" w:rsidRPr="00085C43" w:rsidRDefault="00085C43" w:rsidP="00085C43">
      <w:pPr>
        <w:numPr>
          <w:ilvl w:val="0"/>
          <w:numId w:val="43"/>
        </w:numPr>
        <w:spacing w:after="200" w:line="240" w:lineRule="auto"/>
        <w:ind w:left="0" w:firstLine="0"/>
        <w:jc w:val="left"/>
        <w:rPr>
          <w:rFonts w:eastAsia="Calibri"/>
          <w:snapToGrid/>
          <w:sz w:val="24"/>
          <w:szCs w:val="24"/>
          <w:lang w:eastAsia="en-US"/>
        </w:rPr>
      </w:pPr>
      <w:r w:rsidRPr="00085C43">
        <w:rPr>
          <w:rFonts w:eastAsia="Calibri"/>
          <w:snapToGrid/>
          <w:sz w:val="24"/>
          <w:szCs w:val="24"/>
          <w:lang w:eastAsia="en-US"/>
        </w:rPr>
        <w:t>на день подачи заявки деятельность участника закупки не приостановлена в порядке, предусмотренном Кодексом Российской Федерации об административных правонарушениях;</w:t>
      </w:r>
    </w:p>
    <w:p w:rsidR="00085C43" w:rsidRPr="00085C43" w:rsidRDefault="00085C43" w:rsidP="00085C43">
      <w:pPr>
        <w:numPr>
          <w:ilvl w:val="0"/>
          <w:numId w:val="43"/>
        </w:numPr>
        <w:spacing w:after="200" w:line="240" w:lineRule="auto"/>
        <w:ind w:left="0" w:firstLine="0"/>
        <w:jc w:val="left"/>
        <w:rPr>
          <w:rFonts w:eastAsia="Calibri"/>
          <w:snapToGrid/>
          <w:sz w:val="24"/>
          <w:szCs w:val="24"/>
          <w:lang w:eastAsia="en-US"/>
        </w:rPr>
      </w:pPr>
      <w:r w:rsidRPr="00085C43">
        <w:rPr>
          <w:rFonts w:eastAsia="Calibri"/>
          <w:snapToGrid/>
          <w:sz w:val="24"/>
          <w:szCs w:val="24"/>
          <w:lang w:eastAsia="en-US"/>
        </w:rPr>
        <w:t>у участника закупки отсутствует недоимка по налогам, сборам, задолженность по иным обязательным платежам в бюджеты бюджетной системы Российской Федерации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</w:r>
    </w:p>
    <w:p w:rsidR="00085C43" w:rsidRPr="00085C43" w:rsidRDefault="00085C43" w:rsidP="00085C43">
      <w:pPr>
        <w:numPr>
          <w:ilvl w:val="0"/>
          <w:numId w:val="43"/>
        </w:numPr>
        <w:spacing w:after="200" w:line="240" w:lineRule="auto"/>
        <w:ind w:left="0" w:firstLine="0"/>
        <w:jc w:val="left"/>
        <w:rPr>
          <w:rFonts w:eastAsia="Calibri"/>
          <w:snapToGrid/>
          <w:sz w:val="24"/>
          <w:szCs w:val="24"/>
          <w:lang w:eastAsia="en-US"/>
        </w:rPr>
      </w:pPr>
      <w:r w:rsidRPr="00085C43">
        <w:rPr>
          <w:rFonts w:eastAsia="Calibri"/>
          <w:snapToGrid/>
          <w:sz w:val="24"/>
          <w:szCs w:val="24"/>
          <w:lang w:eastAsia="en-US"/>
        </w:rPr>
        <w:t>сведения об участнике закупки отсутствуют в реестрах недобросовестных поставщиков, ведение которых предусмотрено Законом о закупках и Федеральным законом от 05.04.2013 № 44-ФЗ «О контрактной системе в сфере закупок товаров, работ, услуг для обеспечения госуда</w:t>
      </w:r>
      <w:r w:rsidR="006A21CD">
        <w:rPr>
          <w:rFonts w:eastAsia="Calibri"/>
          <w:snapToGrid/>
          <w:sz w:val="24"/>
          <w:szCs w:val="24"/>
          <w:lang w:eastAsia="en-US"/>
        </w:rPr>
        <w:t>рственных и муниципальных нужд».</w:t>
      </w:r>
    </w:p>
    <w:p w:rsidR="00085C43" w:rsidRDefault="00085C43" w:rsidP="00D52C9D"/>
    <w:p w:rsidR="00D52C9D" w:rsidRDefault="006A21CD" w:rsidP="00D52C9D">
      <w:r>
        <w:t>Приложения к извещению:</w:t>
      </w:r>
    </w:p>
    <w:p w:rsidR="00810F33" w:rsidRDefault="006A21CD" w:rsidP="00D52C9D">
      <w:r>
        <w:t xml:space="preserve">1. </w:t>
      </w:r>
      <w:r w:rsidR="00810F33">
        <w:t xml:space="preserve">Приложение № 1 – </w:t>
      </w:r>
      <w:r w:rsidR="008450CD">
        <w:t>Т</w:t>
      </w:r>
      <w:r w:rsidR="00810F33">
        <w:t>ехническое задание</w:t>
      </w:r>
      <w:r w:rsidR="008450CD">
        <w:t>,</w:t>
      </w:r>
    </w:p>
    <w:p w:rsidR="006A21CD" w:rsidRDefault="00810F33" w:rsidP="00D52C9D">
      <w:r>
        <w:t xml:space="preserve">2. </w:t>
      </w:r>
      <w:r w:rsidR="006A21CD">
        <w:t xml:space="preserve">Приложение № </w:t>
      </w:r>
      <w:r>
        <w:t>2</w:t>
      </w:r>
      <w:r w:rsidR="008450CD">
        <w:t xml:space="preserve"> – П</w:t>
      </w:r>
      <w:r w:rsidR="006A21CD">
        <w:t>роект договора</w:t>
      </w:r>
      <w:r w:rsidR="008450CD">
        <w:t>,</w:t>
      </w:r>
    </w:p>
    <w:p w:rsidR="006A21CD" w:rsidRDefault="00810F33" w:rsidP="00D52C9D">
      <w:r>
        <w:t>3</w:t>
      </w:r>
      <w:r w:rsidR="006A21CD">
        <w:t xml:space="preserve">. Приложение № </w:t>
      </w:r>
      <w:r>
        <w:t>3</w:t>
      </w:r>
      <w:r w:rsidR="006A21CD">
        <w:t xml:space="preserve"> – </w:t>
      </w:r>
      <w:r w:rsidR="008450CD">
        <w:t>Ф</w:t>
      </w:r>
      <w:r w:rsidR="006A21CD">
        <w:t>ормы заявок на участие в закупке и перечень документов</w:t>
      </w:r>
      <w:r w:rsidR="008450CD">
        <w:t>,</w:t>
      </w:r>
      <w:r w:rsidR="006A21CD">
        <w:t xml:space="preserve"> </w:t>
      </w:r>
    </w:p>
    <w:p w:rsidR="006A21CD" w:rsidRDefault="006A21CD" w:rsidP="00D52C9D">
      <w:bookmarkStart w:id="0" w:name="_GoBack"/>
      <w:bookmarkEnd w:id="0"/>
      <w:r>
        <w:t>Приложени</w:t>
      </w:r>
      <w:r w:rsidR="00810F33">
        <w:t>я</w:t>
      </w:r>
      <w:r>
        <w:t xml:space="preserve"> являются неотъемлемой частью </w:t>
      </w:r>
      <w:r w:rsidR="008450CD">
        <w:t>И</w:t>
      </w:r>
      <w:r>
        <w:t xml:space="preserve">звещения. </w:t>
      </w:r>
    </w:p>
    <w:p w:rsidR="006A21CD" w:rsidRDefault="006A21CD" w:rsidP="00D52C9D"/>
    <w:p w:rsidR="006A21CD" w:rsidRDefault="006A21CD" w:rsidP="00D52C9D"/>
    <w:p w:rsidR="00D52C9D" w:rsidRDefault="00D52C9D" w:rsidP="00D52C9D"/>
    <w:p w:rsidR="00D52C9D" w:rsidRDefault="00D52C9D" w:rsidP="00D52C9D"/>
    <w:p w:rsidR="00D52C9D" w:rsidRDefault="00D52C9D" w:rsidP="00D52C9D"/>
    <w:p w:rsidR="00D52C9D" w:rsidRDefault="00D52C9D" w:rsidP="00D52C9D"/>
    <w:p w:rsidR="00D52C9D" w:rsidRDefault="00D52C9D" w:rsidP="00D52C9D"/>
    <w:p w:rsidR="00D52C9D" w:rsidRDefault="00D52C9D" w:rsidP="00D52C9D"/>
    <w:p w:rsidR="00D52C9D" w:rsidRDefault="00D52C9D" w:rsidP="00D52C9D"/>
    <w:p w:rsidR="00D52C9D" w:rsidRDefault="00D52C9D" w:rsidP="00D52C9D"/>
    <w:p w:rsidR="00013BFB" w:rsidRDefault="00013BFB" w:rsidP="00D52C9D"/>
    <w:p w:rsidR="00013BFB" w:rsidRDefault="00013BFB" w:rsidP="00D52C9D"/>
    <w:sectPr w:rsidR="00013BFB" w:rsidSect="00675477">
      <w:headerReference w:type="default" r:id="rId10"/>
      <w:footerReference w:type="default" r:id="rId11"/>
      <w:footerReference w:type="first" r:id="rId12"/>
      <w:pgSz w:w="11906" w:h="16838" w:code="9"/>
      <w:pgMar w:top="567" w:right="849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0A2" w:rsidRDefault="001E40A2">
      <w:r>
        <w:separator/>
      </w:r>
    </w:p>
  </w:endnote>
  <w:endnote w:type="continuationSeparator" w:id="0">
    <w:p w:rsidR="001E40A2" w:rsidRDefault="001E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85" w:rsidRPr="00E76B5C" w:rsidRDefault="00503D85" w:rsidP="00443D61">
    <w:pPr>
      <w:pBdr>
        <w:top w:val="single" w:sz="4" w:space="1" w:color="auto"/>
      </w:pBdr>
      <w:spacing w:line="240" w:lineRule="auto"/>
      <w:ind w:firstLine="0"/>
      <w:jc w:val="right"/>
      <w:rPr>
        <w:b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85" w:rsidRPr="00E76B5C" w:rsidRDefault="00503D85" w:rsidP="00443D61">
    <w:pPr>
      <w:pBdr>
        <w:top w:val="single" w:sz="4" w:space="1" w:color="auto"/>
      </w:pBdr>
      <w:spacing w:line="240" w:lineRule="auto"/>
      <w:ind w:firstLine="0"/>
      <w:jc w:val="right"/>
      <w:rPr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0A2" w:rsidRDefault="001E40A2">
      <w:r>
        <w:separator/>
      </w:r>
    </w:p>
  </w:footnote>
  <w:footnote w:type="continuationSeparator" w:id="0">
    <w:p w:rsidR="001E40A2" w:rsidRDefault="001E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85" w:rsidRDefault="00503D8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1462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071A4"/>
    <w:multiLevelType w:val="hybridMultilevel"/>
    <w:tmpl w:val="6F00D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897F8E"/>
    <w:multiLevelType w:val="multilevel"/>
    <w:tmpl w:val="66066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B45149"/>
    <w:multiLevelType w:val="hybridMultilevel"/>
    <w:tmpl w:val="4432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7D1A"/>
    <w:multiLevelType w:val="hybridMultilevel"/>
    <w:tmpl w:val="5E9863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D13D6"/>
    <w:multiLevelType w:val="multilevel"/>
    <w:tmpl w:val="168E8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E10E38"/>
    <w:multiLevelType w:val="hybridMultilevel"/>
    <w:tmpl w:val="F5CAD73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103C70EC"/>
    <w:multiLevelType w:val="multilevel"/>
    <w:tmpl w:val="C74C41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8" w15:restartNumberingAfterBreak="0">
    <w:nsid w:val="16574840"/>
    <w:multiLevelType w:val="hybridMultilevel"/>
    <w:tmpl w:val="213E8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8A16A9"/>
    <w:multiLevelType w:val="multilevel"/>
    <w:tmpl w:val="01E282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D981727"/>
    <w:multiLevelType w:val="hybridMultilevel"/>
    <w:tmpl w:val="548607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DF0E33"/>
    <w:multiLevelType w:val="multilevel"/>
    <w:tmpl w:val="C9728D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2856EFA"/>
    <w:multiLevelType w:val="multilevel"/>
    <w:tmpl w:val="7F4CE4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BAB"/>
    <w:multiLevelType w:val="hybridMultilevel"/>
    <w:tmpl w:val="600288D6"/>
    <w:lvl w:ilvl="0" w:tplc="E0CA3EC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713A0"/>
    <w:multiLevelType w:val="hybridMultilevel"/>
    <w:tmpl w:val="29AA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26CB1"/>
    <w:multiLevelType w:val="multilevel"/>
    <w:tmpl w:val="86B66E1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6" w15:restartNumberingAfterBreak="0">
    <w:nsid w:val="30020B4C"/>
    <w:multiLevelType w:val="multilevel"/>
    <w:tmpl w:val="3DD81A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455137"/>
    <w:multiLevelType w:val="hybridMultilevel"/>
    <w:tmpl w:val="D4684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3A1E5A"/>
    <w:multiLevelType w:val="hybridMultilevel"/>
    <w:tmpl w:val="3FDA1DCC"/>
    <w:lvl w:ilvl="0" w:tplc="03BC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B23ED"/>
    <w:multiLevelType w:val="hybridMultilevel"/>
    <w:tmpl w:val="FEB65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FC2902"/>
    <w:multiLevelType w:val="multilevel"/>
    <w:tmpl w:val="C4BE5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1" w15:restartNumberingAfterBreak="0">
    <w:nsid w:val="37C40F4B"/>
    <w:multiLevelType w:val="hybridMultilevel"/>
    <w:tmpl w:val="1EAC21B2"/>
    <w:lvl w:ilvl="0" w:tplc="0EA2A3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B26DC"/>
    <w:multiLevelType w:val="hybridMultilevel"/>
    <w:tmpl w:val="DEEA67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8A395C"/>
    <w:multiLevelType w:val="multilevel"/>
    <w:tmpl w:val="7C38D58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2187"/>
        </w:tabs>
        <w:ind w:left="218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80B1886"/>
    <w:multiLevelType w:val="multilevel"/>
    <w:tmpl w:val="0492A1D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6" w15:restartNumberingAfterBreak="0">
    <w:nsid w:val="4A136CE2"/>
    <w:multiLevelType w:val="multilevel"/>
    <w:tmpl w:val="4566BB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AD31BD"/>
    <w:multiLevelType w:val="hybridMultilevel"/>
    <w:tmpl w:val="07BC06FE"/>
    <w:lvl w:ilvl="0" w:tplc="C7B4D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93904"/>
    <w:multiLevelType w:val="hybridMultilevel"/>
    <w:tmpl w:val="58D20906"/>
    <w:lvl w:ilvl="0" w:tplc="783C1D3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52B17DB"/>
    <w:multiLevelType w:val="multilevel"/>
    <w:tmpl w:val="BE008B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55817933"/>
    <w:multiLevelType w:val="multilevel"/>
    <w:tmpl w:val="C4D830F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205886"/>
    <w:multiLevelType w:val="hybridMultilevel"/>
    <w:tmpl w:val="9BDCB7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63A2CCC"/>
    <w:multiLevelType w:val="multilevel"/>
    <w:tmpl w:val="B824C2B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63D3D32"/>
    <w:multiLevelType w:val="hybridMultilevel"/>
    <w:tmpl w:val="EF064CB4"/>
    <w:lvl w:ilvl="0" w:tplc="2424E2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6496716"/>
    <w:multiLevelType w:val="hybridMultilevel"/>
    <w:tmpl w:val="AF304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16A44"/>
    <w:multiLevelType w:val="hybridMultilevel"/>
    <w:tmpl w:val="018CD948"/>
    <w:lvl w:ilvl="0" w:tplc="03BC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623090"/>
    <w:multiLevelType w:val="hybridMultilevel"/>
    <w:tmpl w:val="6F023A7C"/>
    <w:lvl w:ilvl="0" w:tplc="0986DB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0D51BC4"/>
    <w:multiLevelType w:val="hybridMultilevel"/>
    <w:tmpl w:val="23605D20"/>
    <w:lvl w:ilvl="0" w:tplc="D1D4468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949AB"/>
    <w:multiLevelType w:val="multilevel"/>
    <w:tmpl w:val="C6A2C7E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0FA6F5C"/>
    <w:multiLevelType w:val="hybridMultilevel"/>
    <w:tmpl w:val="F30C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969DB"/>
    <w:multiLevelType w:val="hybridMultilevel"/>
    <w:tmpl w:val="CB44AECA"/>
    <w:lvl w:ilvl="0" w:tplc="F88EF86E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F594606"/>
    <w:multiLevelType w:val="multilevel"/>
    <w:tmpl w:val="3A8A1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36"/>
  </w:num>
  <w:num w:numId="3">
    <w:abstractNumId w:val="24"/>
  </w:num>
  <w:num w:numId="4">
    <w:abstractNumId w:val="4"/>
  </w:num>
  <w:num w:numId="5">
    <w:abstractNumId w:val="15"/>
  </w:num>
  <w:num w:numId="6">
    <w:abstractNumId w:val="26"/>
  </w:num>
  <w:num w:numId="7">
    <w:abstractNumId w:val="7"/>
  </w:num>
  <w:num w:numId="8">
    <w:abstractNumId w:val="11"/>
  </w:num>
  <w:num w:numId="9">
    <w:abstractNumId w:val="17"/>
  </w:num>
  <w:num w:numId="10">
    <w:abstractNumId w:val="19"/>
  </w:num>
  <w:num w:numId="11">
    <w:abstractNumId w:val="6"/>
  </w:num>
  <w:num w:numId="12">
    <w:abstractNumId w:val="8"/>
  </w:num>
  <w:num w:numId="13">
    <w:abstractNumId w:val="10"/>
  </w:num>
  <w:num w:numId="14">
    <w:abstractNumId w:val="1"/>
  </w:num>
  <w:num w:numId="15">
    <w:abstractNumId w:val="31"/>
  </w:num>
  <w:num w:numId="16">
    <w:abstractNumId w:val="0"/>
  </w:num>
  <w:num w:numId="17">
    <w:abstractNumId w:val="34"/>
  </w:num>
  <w:num w:numId="18">
    <w:abstractNumId w:val="33"/>
  </w:num>
  <w:num w:numId="19">
    <w:abstractNumId w:val="3"/>
  </w:num>
  <w:num w:numId="20">
    <w:abstractNumId w:val="21"/>
  </w:num>
  <w:num w:numId="21">
    <w:abstractNumId w:val="42"/>
  </w:num>
  <w:num w:numId="22">
    <w:abstractNumId w:val="40"/>
  </w:num>
  <w:num w:numId="23">
    <w:abstractNumId w:val="14"/>
  </w:num>
  <w:num w:numId="24">
    <w:abstractNumId w:val="32"/>
  </w:num>
  <w:num w:numId="25">
    <w:abstractNumId w:val="30"/>
  </w:num>
  <w:num w:numId="26">
    <w:abstractNumId w:val="38"/>
  </w:num>
  <w:num w:numId="27">
    <w:abstractNumId w:val="12"/>
  </w:num>
  <w:num w:numId="28">
    <w:abstractNumId w:val="27"/>
  </w:num>
  <w:num w:numId="29">
    <w:abstractNumId w:val="28"/>
  </w:num>
  <w:num w:numId="30">
    <w:abstractNumId w:val="5"/>
  </w:num>
  <w:num w:numId="31">
    <w:abstractNumId w:val="25"/>
  </w:num>
  <w:num w:numId="32">
    <w:abstractNumId w:val="41"/>
  </w:num>
  <w:num w:numId="33">
    <w:abstractNumId w:val="18"/>
  </w:num>
  <w:num w:numId="34">
    <w:abstractNumId w:val="35"/>
  </w:num>
  <w:num w:numId="35">
    <w:abstractNumId w:val="39"/>
  </w:num>
  <w:num w:numId="36">
    <w:abstractNumId w:val="20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6"/>
  </w:num>
  <w:num w:numId="40">
    <w:abstractNumId w:val="29"/>
  </w:num>
  <w:num w:numId="41">
    <w:abstractNumId w:val="9"/>
  </w:num>
  <w:num w:numId="42">
    <w:abstractNumId w:val="22"/>
  </w:num>
  <w:num w:numId="43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ctiveWritingStyle w:appName="MSWord" w:lang="ru-RU" w:vendorID="1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autoHyphenation/>
  <w:hyphenationZone w:val="357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8F1"/>
    <w:rsid w:val="00011923"/>
    <w:rsid w:val="0001342F"/>
    <w:rsid w:val="00013926"/>
    <w:rsid w:val="00013BFB"/>
    <w:rsid w:val="0002639D"/>
    <w:rsid w:val="00032046"/>
    <w:rsid w:val="00036938"/>
    <w:rsid w:val="00041138"/>
    <w:rsid w:val="00041E80"/>
    <w:rsid w:val="000523F8"/>
    <w:rsid w:val="000541A6"/>
    <w:rsid w:val="00070FBB"/>
    <w:rsid w:val="00072A76"/>
    <w:rsid w:val="00073D42"/>
    <w:rsid w:val="0007433F"/>
    <w:rsid w:val="000760EE"/>
    <w:rsid w:val="000772A2"/>
    <w:rsid w:val="00084DF4"/>
    <w:rsid w:val="00085C43"/>
    <w:rsid w:val="000860B5"/>
    <w:rsid w:val="00091405"/>
    <w:rsid w:val="00092465"/>
    <w:rsid w:val="000925DD"/>
    <w:rsid w:val="00093243"/>
    <w:rsid w:val="00096507"/>
    <w:rsid w:val="00097D9E"/>
    <w:rsid w:val="000A1970"/>
    <w:rsid w:val="000A5E1C"/>
    <w:rsid w:val="000B501C"/>
    <w:rsid w:val="000B5EDC"/>
    <w:rsid w:val="000B7434"/>
    <w:rsid w:val="000C0639"/>
    <w:rsid w:val="000C1374"/>
    <w:rsid w:val="000C6B58"/>
    <w:rsid w:val="000C7659"/>
    <w:rsid w:val="000D3081"/>
    <w:rsid w:val="000E077C"/>
    <w:rsid w:val="000E6673"/>
    <w:rsid w:val="000F3AA7"/>
    <w:rsid w:val="000F4BEC"/>
    <w:rsid w:val="000F5C51"/>
    <w:rsid w:val="00110EBB"/>
    <w:rsid w:val="00111E76"/>
    <w:rsid w:val="001121B5"/>
    <w:rsid w:val="00113EB5"/>
    <w:rsid w:val="001177E4"/>
    <w:rsid w:val="0012241A"/>
    <w:rsid w:val="00125233"/>
    <w:rsid w:val="00126EFE"/>
    <w:rsid w:val="001406C1"/>
    <w:rsid w:val="00140BE4"/>
    <w:rsid w:val="001449A2"/>
    <w:rsid w:val="00144A67"/>
    <w:rsid w:val="00145BFC"/>
    <w:rsid w:val="00155042"/>
    <w:rsid w:val="00157319"/>
    <w:rsid w:val="00163F95"/>
    <w:rsid w:val="00171FB7"/>
    <w:rsid w:val="00175872"/>
    <w:rsid w:val="0018429D"/>
    <w:rsid w:val="00185E17"/>
    <w:rsid w:val="001A5956"/>
    <w:rsid w:val="001B0CC5"/>
    <w:rsid w:val="001B1BBC"/>
    <w:rsid w:val="001B425A"/>
    <w:rsid w:val="001B5ADD"/>
    <w:rsid w:val="001C22A1"/>
    <w:rsid w:val="001C564C"/>
    <w:rsid w:val="001D0E4E"/>
    <w:rsid w:val="001E0080"/>
    <w:rsid w:val="001E40A2"/>
    <w:rsid w:val="001E59E1"/>
    <w:rsid w:val="001E6B6B"/>
    <w:rsid w:val="001F01EF"/>
    <w:rsid w:val="001F0478"/>
    <w:rsid w:val="001F0AC0"/>
    <w:rsid w:val="001F43D4"/>
    <w:rsid w:val="001F5D24"/>
    <w:rsid w:val="001F6B29"/>
    <w:rsid w:val="002055CF"/>
    <w:rsid w:val="0020567A"/>
    <w:rsid w:val="00211069"/>
    <w:rsid w:val="00214F77"/>
    <w:rsid w:val="00222E2C"/>
    <w:rsid w:val="00222EFA"/>
    <w:rsid w:val="0022411D"/>
    <w:rsid w:val="00230018"/>
    <w:rsid w:val="00232CC7"/>
    <w:rsid w:val="00235BDB"/>
    <w:rsid w:val="00236F85"/>
    <w:rsid w:val="00237ABE"/>
    <w:rsid w:val="002434BB"/>
    <w:rsid w:val="00254E5A"/>
    <w:rsid w:val="0025595E"/>
    <w:rsid w:val="002576BA"/>
    <w:rsid w:val="00263C7D"/>
    <w:rsid w:val="00265588"/>
    <w:rsid w:val="00265FD6"/>
    <w:rsid w:val="002671A9"/>
    <w:rsid w:val="00267C51"/>
    <w:rsid w:val="00270611"/>
    <w:rsid w:val="00270D4C"/>
    <w:rsid w:val="0027507A"/>
    <w:rsid w:val="00277063"/>
    <w:rsid w:val="00285608"/>
    <w:rsid w:val="0028686D"/>
    <w:rsid w:val="00290625"/>
    <w:rsid w:val="00291D17"/>
    <w:rsid w:val="00293EEB"/>
    <w:rsid w:val="002967A8"/>
    <w:rsid w:val="00296AB0"/>
    <w:rsid w:val="002A04AD"/>
    <w:rsid w:val="002A4734"/>
    <w:rsid w:val="002A725D"/>
    <w:rsid w:val="002B5E19"/>
    <w:rsid w:val="002B76C6"/>
    <w:rsid w:val="002C0FA8"/>
    <w:rsid w:val="002D2754"/>
    <w:rsid w:val="002D4BDF"/>
    <w:rsid w:val="002E4C6F"/>
    <w:rsid w:val="002F1187"/>
    <w:rsid w:val="002F1AAE"/>
    <w:rsid w:val="002F2124"/>
    <w:rsid w:val="002F624C"/>
    <w:rsid w:val="002F75B7"/>
    <w:rsid w:val="002F7E75"/>
    <w:rsid w:val="00300128"/>
    <w:rsid w:val="00303329"/>
    <w:rsid w:val="0031217A"/>
    <w:rsid w:val="003142CC"/>
    <w:rsid w:val="00316A44"/>
    <w:rsid w:val="00317B44"/>
    <w:rsid w:val="0032152D"/>
    <w:rsid w:val="0032365B"/>
    <w:rsid w:val="003268F4"/>
    <w:rsid w:val="003276D8"/>
    <w:rsid w:val="003304FF"/>
    <w:rsid w:val="00330FD2"/>
    <w:rsid w:val="00332510"/>
    <w:rsid w:val="00340C71"/>
    <w:rsid w:val="00343373"/>
    <w:rsid w:val="003537AC"/>
    <w:rsid w:val="0035561F"/>
    <w:rsid w:val="00361602"/>
    <w:rsid w:val="00362F40"/>
    <w:rsid w:val="00365D81"/>
    <w:rsid w:val="00365F7D"/>
    <w:rsid w:val="00367DE3"/>
    <w:rsid w:val="00380E73"/>
    <w:rsid w:val="003905D5"/>
    <w:rsid w:val="0039221F"/>
    <w:rsid w:val="003934FD"/>
    <w:rsid w:val="00394B44"/>
    <w:rsid w:val="003A418A"/>
    <w:rsid w:val="003B4B2E"/>
    <w:rsid w:val="003C39A6"/>
    <w:rsid w:val="003E1327"/>
    <w:rsid w:val="003E2AD7"/>
    <w:rsid w:val="003E5EBE"/>
    <w:rsid w:val="003F2676"/>
    <w:rsid w:val="00401B2D"/>
    <w:rsid w:val="00402349"/>
    <w:rsid w:val="00404CE9"/>
    <w:rsid w:val="00412F82"/>
    <w:rsid w:val="00414F0A"/>
    <w:rsid w:val="00416990"/>
    <w:rsid w:val="004260FD"/>
    <w:rsid w:val="00435360"/>
    <w:rsid w:val="00443D61"/>
    <w:rsid w:val="004442CE"/>
    <w:rsid w:val="00451F31"/>
    <w:rsid w:val="00454E58"/>
    <w:rsid w:val="00455A20"/>
    <w:rsid w:val="004575E7"/>
    <w:rsid w:val="004702A9"/>
    <w:rsid w:val="00474D7C"/>
    <w:rsid w:val="0047590A"/>
    <w:rsid w:val="00481450"/>
    <w:rsid w:val="00482B32"/>
    <w:rsid w:val="00486661"/>
    <w:rsid w:val="00496840"/>
    <w:rsid w:val="004A1F78"/>
    <w:rsid w:val="004A2AF2"/>
    <w:rsid w:val="004B5C4C"/>
    <w:rsid w:val="004C1E33"/>
    <w:rsid w:val="004D5CA1"/>
    <w:rsid w:val="004E5C20"/>
    <w:rsid w:val="004E67F1"/>
    <w:rsid w:val="004E6EF4"/>
    <w:rsid w:val="004E6F98"/>
    <w:rsid w:val="0050350A"/>
    <w:rsid w:val="00503D85"/>
    <w:rsid w:val="005122B5"/>
    <w:rsid w:val="00514C90"/>
    <w:rsid w:val="00521F97"/>
    <w:rsid w:val="00523062"/>
    <w:rsid w:val="00523BA9"/>
    <w:rsid w:val="00532D97"/>
    <w:rsid w:val="00550618"/>
    <w:rsid w:val="0055503E"/>
    <w:rsid w:val="0055667F"/>
    <w:rsid w:val="00556C55"/>
    <w:rsid w:val="00556E3B"/>
    <w:rsid w:val="00560416"/>
    <w:rsid w:val="00567F66"/>
    <w:rsid w:val="00570441"/>
    <w:rsid w:val="00571CC2"/>
    <w:rsid w:val="00591A6E"/>
    <w:rsid w:val="005922B4"/>
    <w:rsid w:val="00594359"/>
    <w:rsid w:val="005A3BAF"/>
    <w:rsid w:val="005B5C87"/>
    <w:rsid w:val="005B5ECB"/>
    <w:rsid w:val="005B647B"/>
    <w:rsid w:val="005C1788"/>
    <w:rsid w:val="005C5AC1"/>
    <w:rsid w:val="005E40C1"/>
    <w:rsid w:val="005E4F60"/>
    <w:rsid w:val="005F17EF"/>
    <w:rsid w:val="005F18B3"/>
    <w:rsid w:val="005F27FA"/>
    <w:rsid w:val="005F6BE3"/>
    <w:rsid w:val="006006CC"/>
    <w:rsid w:val="006021D5"/>
    <w:rsid w:val="00613792"/>
    <w:rsid w:val="0062180E"/>
    <w:rsid w:val="00621C03"/>
    <w:rsid w:val="006245BD"/>
    <w:rsid w:val="0062537C"/>
    <w:rsid w:val="00627A3F"/>
    <w:rsid w:val="006324D6"/>
    <w:rsid w:val="00634287"/>
    <w:rsid w:val="00634BBC"/>
    <w:rsid w:val="006359DA"/>
    <w:rsid w:val="006362D1"/>
    <w:rsid w:val="006403E6"/>
    <w:rsid w:val="00641543"/>
    <w:rsid w:val="00644E44"/>
    <w:rsid w:val="0064557D"/>
    <w:rsid w:val="00646EE4"/>
    <w:rsid w:val="00656399"/>
    <w:rsid w:val="00657F79"/>
    <w:rsid w:val="00665CC3"/>
    <w:rsid w:val="00667EEF"/>
    <w:rsid w:val="00672E72"/>
    <w:rsid w:val="00672FC5"/>
    <w:rsid w:val="00674A59"/>
    <w:rsid w:val="00674C55"/>
    <w:rsid w:val="00675477"/>
    <w:rsid w:val="00675497"/>
    <w:rsid w:val="00675CAE"/>
    <w:rsid w:val="0068731D"/>
    <w:rsid w:val="00691218"/>
    <w:rsid w:val="006A21CD"/>
    <w:rsid w:val="006B0907"/>
    <w:rsid w:val="006B105A"/>
    <w:rsid w:val="006B537A"/>
    <w:rsid w:val="006B5EBA"/>
    <w:rsid w:val="006C0BE0"/>
    <w:rsid w:val="006C22AC"/>
    <w:rsid w:val="006C4967"/>
    <w:rsid w:val="006D2E99"/>
    <w:rsid w:val="006E0331"/>
    <w:rsid w:val="006E2AA2"/>
    <w:rsid w:val="006F5878"/>
    <w:rsid w:val="006F6FC4"/>
    <w:rsid w:val="0070021C"/>
    <w:rsid w:val="0070127C"/>
    <w:rsid w:val="00707D27"/>
    <w:rsid w:val="00710B33"/>
    <w:rsid w:val="00712B5B"/>
    <w:rsid w:val="00717DB7"/>
    <w:rsid w:val="00720627"/>
    <w:rsid w:val="00722EEA"/>
    <w:rsid w:val="00731FE9"/>
    <w:rsid w:val="00735286"/>
    <w:rsid w:val="007359A4"/>
    <w:rsid w:val="0074776C"/>
    <w:rsid w:val="00750182"/>
    <w:rsid w:val="007538AF"/>
    <w:rsid w:val="00756789"/>
    <w:rsid w:val="00760687"/>
    <w:rsid w:val="0076227F"/>
    <w:rsid w:val="00762DED"/>
    <w:rsid w:val="00767F70"/>
    <w:rsid w:val="00775265"/>
    <w:rsid w:val="00781C6A"/>
    <w:rsid w:val="007850EE"/>
    <w:rsid w:val="00786AFC"/>
    <w:rsid w:val="00790B09"/>
    <w:rsid w:val="00791F4B"/>
    <w:rsid w:val="00792767"/>
    <w:rsid w:val="0079392D"/>
    <w:rsid w:val="007A2463"/>
    <w:rsid w:val="007A7AEE"/>
    <w:rsid w:val="007B2393"/>
    <w:rsid w:val="007B2797"/>
    <w:rsid w:val="007B368F"/>
    <w:rsid w:val="007C13D7"/>
    <w:rsid w:val="007C1577"/>
    <w:rsid w:val="007C16C1"/>
    <w:rsid w:val="007C16EF"/>
    <w:rsid w:val="007C4AEF"/>
    <w:rsid w:val="007C7B89"/>
    <w:rsid w:val="007C7DA1"/>
    <w:rsid w:val="007E1026"/>
    <w:rsid w:val="007E72D5"/>
    <w:rsid w:val="007F1924"/>
    <w:rsid w:val="007F49E5"/>
    <w:rsid w:val="007F4B7E"/>
    <w:rsid w:val="007F6568"/>
    <w:rsid w:val="00810F33"/>
    <w:rsid w:val="00816BEB"/>
    <w:rsid w:val="00822F9A"/>
    <w:rsid w:val="0082618E"/>
    <w:rsid w:val="0083163B"/>
    <w:rsid w:val="008317F5"/>
    <w:rsid w:val="00833EE9"/>
    <w:rsid w:val="0083437C"/>
    <w:rsid w:val="00841DD2"/>
    <w:rsid w:val="008428B5"/>
    <w:rsid w:val="00842D09"/>
    <w:rsid w:val="008450CD"/>
    <w:rsid w:val="00856900"/>
    <w:rsid w:val="0085712C"/>
    <w:rsid w:val="00861360"/>
    <w:rsid w:val="00872743"/>
    <w:rsid w:val="008746F2"/>
    <w:rsid w:val="008761C4"/>
    <w:rsid w:val="00883666"/>
    <w:rsid w:val="00885309"/>
    <w:rsid w:val="00890E5B"/>
    <w:rsid w:val="008A0285"/>
    <w:rsid w:val="008B064F"/>
    <w:rsid w:val="008B4F87"/>
    <w:rsid w:val="008B5FFD"/>
    <w:rsid w:val="008C0FEB"/>
    <w:rsid w:val="008C2630"/>
    <w:rsid w:val="008C39A5"/>
    <w:rsid w:val="008D0DC3"/>
    <w:rsid w:val="008E133E"/>
    <w:rsid w:val="008F1618"/>
    <w:rsid w:val="00914E75"/>
    <w:rsid w:val="0092598B"/>
    <w:rsid w:val="00925E30"/>
    <w:rsid w:val="0093485F"/>
    <w:rsid w:val="00935725"/>
    <w:rsid w:val="009359ED"/>
    <w:rsid w:val="0093726E"/>
    <w:rsid w:val="00950383"/>
    <w:rsid w:val="009517CC"/>
    <w:rsid w:val="00952E23"/>
    <w:rsid w:val="00970769"/>
    <w:rsid w:val="00970F94"/>
    <w:rsid w:val="00974132"/>
    <w:rsid w:val="00983DF6"/>
    <w:rsid w:val="009846C5"/>
    <w:rsid w:val="009A1DDC"/>
    <w:rsid w:val="009A4043"/>
    <w:rsid w:val="009A4167"/>
    <w:rsid w:val="009A51F0"/>
    <w:rsid w:val="009B6E8D"/>
    <w:rsid w:val="009C0124"/>
    <w:rsid w:val="009C099B"/>
    <w:rsid w:val="009C0C03"/>
    <w:rsid w:val="009C2B19"/>
    <w:rsid w:val="009C46B4"/>
    <w:rsid w:val="009C7AC3"/>
    <w:rsid w:val="009D37C1"/>
    <w:rsid w:val="009D485C"/>
    <w:rsid w:val="009F325E"/>
    <w:rsid w:val="009F4D21"/>
    <w:rsid w:val="009F706F"/>
    <w:rsid w:val="009F70A2"/>
    <w:rsid w:val="009F74C3"/>
    <w:rsid w:val="00A011C8"/>
    <w:rsid w:val="00A115BF"/>
    <w:rsid w:val="00A11C1B"/>
    <w:rsid w:val="00A121E9"/>
    <w:rsid w:val="00A20D2D"/>
    <w:rsid w:val="00A21FBD"/>
    <w:rsid w:val="00A238F1"/>
    <w:rsid w:val="00A25CC3"/>
    <w:rsid w:val="00A33448"/>
    <w:rsid w:val="00A34110"/>
    <w:rsid w:val="00A368A5"/>
    <w:rsid w:val="00A503BB"/>
    <w:rsid w:val="00A5065A"/>
    <w:rsid w:val="00A51634"/>
    <w:rsid w:val="00A54A98"/>
    <w:rsid w:val="00A631C9"/>
    <w:rsid w:val="00A633EA"/>
    <w:rsid w:val="00A649A8"/>
    <w:rsid w:val="00A73A0E"/>
    <w:rsid w:val="00A7799B"/>
    <w:rsid w:val="00A81095"/>
    <w:rsid w:val="00A822B8"/>
    <w:rsid w:val="00A85720"/>
    <w:rsid w:val="00A94C40"/>
    <w:rsid w:val="00AA2EEC"/>
    <w:rsid w:val="00AA7A74"/>
    <w:rsid w:val="00AB3394"/>
    <w:rsid w:val="00AC1985"/>
    <w:rsid w:val="00AC6057"/>
    <w:rsid w:val="00AD3F3B"/>
    <w:rsid w:val="00AD7439"/>
    <w:rsid w:val="00AE3CC3"/>
    <w:rsid w:val="00AF09D8"/>
    <w:rsid w:val="00AF1993"/>
    <w:rsid w:val="00AF3F97"/>
    <w:rsid w:val="00AF7890"/>
    <w:rsid w:val="00B05791"/>
    <w:rsid w:val="00B06735"/>
    <w:rsid w:val="00B109CF"/>
    <w:rsid w:val="00B130CB"/>
    <w:rsid w:val="00B16BB9"/>
    <w:rsid w:val="00B16D42"/>
    <w:rsid w:val="00B16D80"/>
    <w:rsid w:val="00B1745A"/>
    <w:rsid w:val="00B227A8"/>
    <w:rsid w:val="00B276BE"/>
    <w:rsid w:val="00B33DD7"/>
    <w:rsid w:val="00B36217"/>
    <w:rsid w:val="00B368CD"/>
    <w:rsid w:val="00B41243"/>
    <w:rsid w:val="00B428A5"/>
    <w:rsid w:val="00B432EB"/>
    <w:rsid w:val="00B47A3E"/>
    <w:rsid w:val="00B64394"/>
    <w:rsid w:val="00B72E76"/>
    <w:rsid w:val="00B76C20"/>
    <w:rsid w:val="00B8312A"/>
    <w:rsid w:val="00B83E9C"/>
    <w:rsid w:val="00B93D02"/>
    <w:rsid w:val="00B97392"/>
    <w:rsid w:val="00BA1ED9"/>
    <w:rsid w:val="00BA278B"/>
    <w:rsid w:val="00BA2C48"/>
    <w:rsid w:val="00BB07D3"/>
    <w:rsid w:val="00BB1873"/>
    <w:rsid w:val="00BC2009"/>
    <w:rsid w:val="00BC4059"/>
    <w:rsid w:val="00BC5F96"/>
    <w:rsid w:val="00BC60BA"/>
    <w:rsid w:val="00BD3A31"/>
    <w:rsid w:val="00BE13AE"/>
    <w:rsid w:val="00BE36BD"/>
    <w:rsid w:val="00BE5CB9"/>
    <w:rsid w:val="00BF3272"/>
    <w:rsid w:val="00BF6842"/>
    <w:rsid w:val="00C02850"/>
    <w:rsid w:val="00C03C31"/>
    <w:rsid w:val="00C10308"/>
    <w:rsid w:val="00C21BF4"/>
    <w:rsid w:val="00C226AC"/>
    <w:rsid w:val="00C2533B"/>
    <w:rsid w:val="00C344B4"/>
    <w:rsid w:val="00C3645A"/>
    <w:rsid w:val="00C41D53"/>
    <w:rsid w:val="00C64D48"/>
    <w:rsid w:val="00C70DD8"/>
    <w:rsid w:val="00C71A7F"/>
    <w:rsid w:val="00C741E1"/>
    <w:rsid w:val="00C742F5"/>
    <w:rsid w:val="00C80801"/>
    <w:rsid w:val="00C83CEF"/>
    <w:rsid w:val="00C871CD"/>
    <w:rsid w:val="00C91040"/>
    <w:rsid w:val="00C953B9"/>
    <w:rsid w:val="00C967AD"/>
    <w:rsid w:val="00C96A6F"/>
    <w:rsid w:val="00C97C80"/>
    <w:rsid w:val="00CA15A0"/>
    <w:rsid w:val="00CA4C60"/>
    <w:rsid w:val="00CA59D9"/>
    <w:rsid w:val="00CA61DA"/>
    <w:rsid w:val="00CB4FD9"/>
    <w:rsid w:val="00CB5CBF"/>
    <w:rsid w:val="00CD1A7F"/>
    <w:rsid w:val="00CD462B"/>
    <w:rsid w:val="00CD6529"/>
    <w:rsid w:val="00CD7052"/>
    <w:rsid w:val="00CE0584"/>
    <w:rsid w:val="00CE6330"/>
    <w:rsid w:val="00CF19FD"/>
    <w:rsid w:val="00D00275"/>
    <w:rsid w:val="00D030A8"/>
    <w:rsid w:val="00D06B2B"/>
    <w:rsid w:val="00D12317"/>
    <w:rsid w:val="00D2098F"/>
    <w:rsid w:val="00D24168"/>
    <w:rsid w:val="00D26C67"/>
    <w:rsid w:val="00D3117B"/>
    <w:rsid w:val="00D31DA0"/>
    <w:rsid w:val="00D360F0"/>
    <w:rsid w:val="00D40DCE"/>
    <w:rsid w:val="00D41CC6"/>
    <w:rsid w:val="00D46790"/>
    <w:rsid w:val="00D51CF1"/>
    <w:rsid w:val="00D52C9D"/>
    <w:rsid w:val="00D62D4D"/>
    <w:rsid w:val="00D65E8F"/>
    <w:rsid w:val="00D722B9"/>
    <w:rsid w:val="00D756E2"/>
    <w:rsid w:val="00D81BD4"/>
    <w:rsid w:val="00D85186"/>
    <w:rsid w:val="00D92607"/>
    <w:rsid w:val="00D94860"/>
    <w:rsid w:val="00D951BC"/>
    <w:rsid w:val="00DA3949"/>
    <w:rsid w:val="00DA7D4A"/>
    <w:rsid w:val="00DB4847"/>
    <w:rsid w:val="00DD316F"/>
    <w:rsid w:val="00DE2B04"/>
    <w:rsid w:val="00DE5CF0"/>
    <w:rsid w:val="00DE769E"/>
    <w:rsid w:val="00DF25B7"/>
    <w:rsid w:val="00DF5030"/>
    <w:rsid w:val="00E02EFF"/>
    <w:rsid w:val="00E05EFF"/>
    <w:rsid w:val="00E10289"/>
    <w:rsid w:val="00E1130B"/>
    <w:rsid w:val="00E118DB"/>
    <w:rsid w:val="00E12B50"/>
    <w:rsid w:val="00E14B9B"/>
    <w:rsid w:val="00E215DA"/>
    <w:rsid w:val="00E22FC1"/>
    <w:rsid w:val="00E3723E"/>
    <w:rsid w:val="00E37938"/>
    <w:rsid w:val="00E414E8"/>
    <w:rsid w:val="00E4236C"/>
    <w:rsid w:val="00E46062"/>
    <w:rsid w:val="00E461FA"/>
    <w:rsid w:val="00E50310"/>
    <w:rsid w:val="00E52FA6"/>
    <w:rsid w:val="00E559C4"/>
    <w:rsid w:val="00E6394B"/>
    <w:rsid w:val="00E6509E"/>
    <w:rsid w:val="00E65953"/>
    <w:rsid w:val="00E67FF3"/>
    <w:rsid w:val="00E72042"/>
    <w:rsid w:val="00E76B5C"/>
    <w:rsid w:val="00E76C5C"/>
    <w:rsid w:val="00E8117A"/>
    <w:rsid w:val="00E82D13"/>
    <w:rsid w:val="00E842FE"/>
    <w:rsid w:val="00EA1675"/>
    <w:rsid w:val="00EA5A7E"/>
    <w:rsid w:val="00EB0AD9"/>
    <w:rsid w:val="00EB5C33"/>
    <w:rsid w:val="00EB6E79"/>
    <w:rsid w:val="00EB726F"/>
    <w:rsid w:val="00EB7E69"/>
    <w:rsid w:val="00EC5192"/>
    <w:rsid w:val="00EC75AD"/>
    <w:rsid w:val="00EC7E51"/>
    <w:rsid w:val="00ED75E6"/>
    <w:rsid w:val="00EE05C5"/>
    <w:rsid w:val="00EE4929"/>
    <w:rsid w:val="00EE78AB"/>
    <w:rsid w:val="00EF4E1D"/>
    <w:rsid w:val="00F021C3"/>
    <w:rsid w:val="00F0252A"/>
    <w:rsid w:val="00F032DD"/>
    <w:rsid w:val="00F048F3"/>
    <w:rsid w:val="00F05D01"/>
    <w:rsid w:val="00F154F4"/>
    <w:rsid w:val="00F16EA5"/>
    <w:rsid w:val="00F24F28"/>
    <w:rsid w:val="00F25B1B"/>
    <w:rsid w:val="00F53514"/>
    <w:rsid w:val="00F54CFE"/>
    <w:rsid w:val="00F65416"/>
    <w:rsid w:val="00F707E4"/>
    <w:rsid w:val="00F728D7"/>
    <w:rsid w:val="00F80778"/>
    <w:rsid w:val="00F83FDB"/>
    <w:rsid w:val="00F86FAF"/>
    <w:rsid w:val="00F900EA"/>
    <w:rsid w:val="00F91F41"/>
    <w:rsid w:val="00F961B2"/>
    <w:rsid w:val="00F97F0E"/>
    <w:rsid w:val="00FA00D0"/>
    <w:rsid w:val="00FA4E2F"/>
    <w:rsid w:val="00FA607A"/>
    <w:rsid w:val="00FA7DF0"/>
    <w:rsid w:val="00FB3320"/>
    <w:rsid w:val="00FB3727"/>
    <w:rsid w:val="00FB60A3"/>
    <w:rsid w:val="00FC050F"/>
    <w:rsid w:val="00FC45D5"/>
    <w:rsid w:val="00FC69B0"/>
    <w:rsid w:val="00FC796C"/>
    <w:rsid w:val="00FD0264"/>
    <w:rsid w:val="00FD0DF1"/>
    <w:rsid w:val="00FE1C8A"/>
    <w:rsid w:val="00FE23D1"/>
    <w:rsid w:val="00FE29B7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EEDB4A"/>
  <w15:docId w15:val="{03438ED0-0B94-4315-9664-775D4001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aliases w:val="Заголовок параграфа (1.),Heading 1 Char,Document Header1,H1,Введение...,Б1,Heading 1iz,Б11,Ариал11,Заголовок 1 абб,Headi...,h1,Heading 1 Char1,Заголов,Заголовок 1 Знак1,Заголовок 1 Знак Знак,1,app heading 1,ITT t1,II+,I,H11,H12,H13,H14,H15"/>
    <w:basedOn w:val="a2"/>
    <w:next w:val="a2"/>
    <w:uiPriority w:val="9"/>
    <w:qFormat/>
    <w:pPr>
      <w:keepNext/>
      <w:keepLines/>
      <w:pageBreakBefore/>
      <w:numPr>
        <w:numId w:val="3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,Heading 2 Char,2,H2,h2,Numbered text 3,Reset numbering,Б2,RTC,iz2,HD2,heading 2,Heading 2 Hidden,Раздел Знак,Level 2 Topic Heading,H21,Major,CHS,H2-Heading 2,l2,Header2,22,heading2,list2,A,A.B.C.,list 2,Heading2,H,5"/>
    <w:basedOn w:val="a2"/>
    <w:next w:val="a2"/>
    <w:uiPriority w:val="9"/>
    <w:qFormat/>
    <w:pPr>
      <w:keepNext/>
      <w:suppressAutoHyphens/>
      <w:spacing w:before="360" w:after="120" w:line="240" w:lineRule="auto"/>
      <w:ind w:firstLine="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7">
    <w:name w:val="footer"/>
    <w:basedOn w:val="a2"/>
    <w:link w:val="a8"/>
    <w:uiPriority w:val="99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0">
    <w:name w:val="toc 1"/>
    <w:basedOn w:val="a2"/>
    <w:next w:val="a2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0">
    <w:name w:val="toc 2"/>
    <w:basedOn w:val="a2"/>
    <w:next w:val="a2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0">
    <w:name w:val="toc 3"/>
    <w:basedOn w:val="a2"/>
    <w:next w:val="a2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uiPriority w:val="9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">
    <w:name w:val="footnote text"/>
    <w:basedOn w:val="a2"/>
    <w:semiHidden/>
    <w:pPr>
      <w:spacing w:line="240" w:lineRule="auto"/>
    </w:pPr>
    <w:rPr>
      <w:sz w:val="20"/>
    </w:rPr>
  </w:style>
  <w:style w:type="paragraph" w:customStyle="1" w:styleId="af0">
    <w:name w:val="Таблица текст"/>
    <w:basedOn w:val="a2"/>
    <w:uiPriority w:val="99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1">
    <w:name w:val="caption"/>
    <w:basedOn w:val="a2"/>
    <w:next w:val="a2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2"/>
    <w:next w:val="a2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semiHidden/>
    <w:pPr>
      <w:ind w:left="2240"/>
      <w:jc w:val="left"/>
    </w:pPr>
    <w:rPr>
      <w:sz w:val="18"/>
      <w:szCs w:val="18"/>
    </w:rPr>
  </w:style>
  <w:style w:type="paragraph" w:customStyle="1" w:styleId="af2">
    <w:name w:val="маркированный"/>
    <w:basedOn w:val="a2"/>
    <w:semiHidden/>
    <w:pPr>
      <w:ind w:firstLine="0"/>
    </w:pPr>
  </w:style>
  <w:style w:type="paragraph" w:customStyle="1" w:styleId="a">
    <w:name w:val="Пункт"/>
    <w:basedOn w:val="a2"/>
    <w:pPr>
      <w:numPr>
        <w:ilvl w:val="2"/>
        <w:numId w:val="3"/>
      </w:numPr>
    </w:pPr>
    <w:rPr>
      <w:snapToGrid/>
    </w:rPr>
  </w:style>
  <w:style w:type="character" w:customStyle="1" w:styleId="af3">
    <w:name w:val="Пункт Знак"/>
    <w:rPr>
      <w:sz w:val="28"/>
      <w:lang w:val="ru-RU" w:eastAsia="ru-RU" w:bidi="ar-SA"/>
    </w:r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f4">
    <w:name w:val="Подпункт Знак"/>
    <w:rPr>
      <w:sz w:val="28"/>
      <w:lang w:val="ru-RU" w:eastAsia="ru-RU" w:bidi="ar-SA"/>
    </w:rPr>
  </w:style>
  <w:style w:type="character" w:customStyle="1" w:styleId="af5">
    <w:name w:val="комментарий"/>
    <w:uiPriority w:val="99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6">
    <w:name w:val="Подподпункт"/>
    <w:basedOn w:val="a0"/>
    <w:link w:val="af7"/>
    <w:pPr>
      <w:numPr>
        <w:ilvl w:val="0"/>
        <w:numId w:val="0"/>
      </w:numPr>
      <w:tabs>
        <w:tab w:val="num" w:pos="2187"/>
      </w:tabs>
      <w:ind w:left="2187" w:hanging="567"/>
    </w:pPr>
  </w:style>
  <w:style w:type="paragraph" w:styleId="a1">
    <w:name w:val="List Number"/>
    <w:basedOn w:val="a2"/>
    <w:pPr>
      <w:numPr>
        <w:ilvl w:val="4"/>
        <w:numId w:val="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8">
    <w:name w:val="Текст таблицы"/>
    <w:basedOn w:val="a2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9">
    <w:name w:val="Пункт б/н"/>
    <w:basedOn w:val="a2"/>
    <w:pPr>
      <w:tabs>
        <w:tab w:val="left" w:pos="1134"/>
      </w:tabs>
    </w:pPr>
  </w:style>
  <w:style w:type="paragraph" w:styleId="afa">
    <w:name w:val="List Bullet"/>
    <w:basedOn w:val="a2"/>
    <w:autoRedefine/>
    <w:pPr>
      <w:ind w:firstLine="0"/>
    </w:pPr>
  </w:style>
  <w:style w:type="paragraph" w:styleId="afb">
    <w:name w:val="Balloon Text"/>
    <w:basedOn w:val="a2"/>
    <w:semiHidden/>
    <w:rPr>
      <w:rFonts w:ascii="Tahoma" w:hAnsi="Tahoma" w:cs="Tahoma"/>
      <w:sz w:val="16"/>
      <w:szCs w:val="16"/>
    </w:rPr>
  </w:style>
  <w:style w:type="character" w:customStyle="1" w:styleId="af7">
    <w:name w:val="Подподпункт Знак"/>
    <w:link w:val="af6"/>
    <w:locked/>
    <w:rsid w:val="00B16BB9"/>
    <w:rPr>
      <w:sz w:val="28"/>
    </w:rPr>
  </w:style>
  <w:style w:type="paragraph" w:styleId="afc">
    <w:name w:val="Normal (Web)"/>
    <w:aliases w:val="Обычный (Web),Обычный (веб) Знак Знак,Обычный (Web) Знак Знак Знак"/>
    <w:basedOn w:val="a2"/>
    <w:link w:val="afd"/>
    <w:uiPriority w:val="99"/>
    <w:rsid w:val="00B05791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snapToGrid/>
      <w:sz w:val="16"/>
      <w:szCs w:val="16"/>
      <w:lang w:val="x-none" w:eastAsia="x-none"/>
    </w:rPr>
  </w:style>
  <w:style w:type="table" w:styleId="afe">
    <w:name w:val="Table Grid"/>
    <w:basedOn w:val="a4"/>
    <w:rsid w:val="00B428A5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qFormat/>
    <w:rsid w:val="00073D42"/>
    <w:rPr>
      <w:b/>
      <w:bCs/>
    </w:rPr>
  </w:style>
  <w:style w:type="character" w:customStyle="1" w:styleId="FontStyle27">
    <w:name w:val="Font Style27"/>
    <w:uiPriority w:val="99"/>
    <w:rsid w:val="00F86FAF"/>
    <w:rPr>
      <w:rFonts w:ascii="Times New Roman" w:hAnsi="Times New Roman" w:cs="Times New Roman"/>
      <w:sz w:val="18"/>
      <w:szCs w:val="18"/>
    </w:rPr>
  </w:style>
  <w:style w:type="paragraph" w:styleId="aff0">
    <w:name w:val="List Paragraph"/>
    <w:aliases w:val="Цветной список - Акцент 11,Bullet List,FooterText,numbered,ПС - Нумерованный"/>
    <w:basedOn w:val="a2"/>
    <w:link w:val="aff1"/>
    <w:uiPriority w:val="34"/>
    <w:qFormat/>
    <w:rsid w:val="00F86FAF"/>
    <w:pPr>
      <w:spacing w:line="240" w:lineRule="auto"/>
      <w:ind w:left="720" w:firstLine="0"/>
      <w:contextualSpacing/>
      <w:jc w:val="left"/>
    </w:pPr>
    <w:rPr>
      <w:snapToGrid/>
      <w:sz w:val="26"/>
    </w:rPr>
  </w:style>
  <w:style w:type="character" w:customStyle="1" w:styleId="FontStyle13">
    <w:name w:val="Font Style13"/>
    <w:uiPriority w:val="99"/>
    <w:rsid w:val="009359E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2"/>
    <w:uiPriority w:val="99"/>
    <w:rsid w:val="009359E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napToGrid/>
      <w:sz w:val="24"/>
      <w:szCs w:val="24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uiPriority w:val="99"/>
    <w:locked/>
    <w:rsid w:val="009359ED"/>
    <w:rPr>
      <w:rFonts w:ascii="Verdana" w:hAnsi="Verdan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7C16C1"/>
    <w:rPr>
      <w:snapToGrid w:val="0"/>
    </w:rPr>
  </w:style>
  <w:style w:type="character" w:customStyle="1" w:styleId="0pt">
    <w:name w:val="Основной текст + Полужирный;Интервал 0 pt"/>
    <w:rsid w:val="00CD4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/>
    </w:rPr>
  </w:style>
  <w:style w:type="paragraph" w:styleId="aff2">
    <w:name w:val="annotation text"/>
    <w:basedOn w:val="a2"/>
    <w:link w:val="aff3"/>
    <w:rsid w:val="000B501C"/>
    <w:rPr>
      <w:sz w:val="20"/>
    </w:rPr>
  </w:style>
  <w:style w:type="character" w:customStyle="1" w:styleId="aff3">
    <w:name w:val="Текст примечания Знак"/>
    <w:link w:val="aff2"/>
    <w:rsid w:val="000B501C"/>
    <w:rPr>
      <w:snapToGrid w:val="0"/>
    </w:rPr>
  </w:style>
  <w:style w:type="paragraph" w:styleId="aff4">
    <w:name w:val="annotation subject"/>
    <w:basedOn w:val="aff2"/>
    <w:next w:val="aff2"/>
    <w:link w:val="aff5"/>
    <w:rsid w:val="000B501C"/>
    <w:rPr>
      <w:b/>
      <w:bCs/>
      <w:snapToGrid/>
    </w:rPr>
  </w:style>
  <w:style w:type="character" w:customStyle="1" w:styleId="aff5">
    <w:name w:val="Тема примечания Знак"/>
    <w:link w:val="aff4"/>
    <w:rsid w:val="000B501C"/>
    <w:rPr>
      <w:b/>
      <w:bCs/>
      <w:snapToGrid/>
    </w:rPr>
  </w:style>
  <w:style w:type="character" w:customStyle="1" w:styleId="aff6">
    <w:name w:val="_нумерация Знак"/>
    <w:link w:val="aff7"/>
    <w:locked/>
    <w:rsid w:val="00672E72"/>
    <w:rPr>
      <w:rFonts w:ascii="Candara" w:eastAsia="Calibri" w:hAnsi="Candara"/>
    </w:rPr>
  </w:style>
  <w:style w:type="paragraph" w:customStyle="1" w:styleId="aff7">
    <w:name w:val="_нумерация"/>
    <w:basedOn w:val="a2"/>
    <w:link w:val="aff6"/>
    <w:qFormat/>
    <w:rsid w:val="00672E72"/>
    <w:pPr>
      <w:suppressAutoHyphens/>
      <w:spacing w:after="200" w:line="276" w:lineRule="auto"/>
      <w:ind w:left="907" w:hanging="198"/>
      <w:contextualSpacing/>
      <w:jc w:val="left"/>
    </w:pPr>
    <w:rPr>
      <w:rFonts w:ascii="Candara" w:eastAsia="Calibri" w:hAnsi="Candara"/>
      <w:snapToGrid/>
      <w:sz w:val="20"/>
    </w:rPr>
  </w:style>
  <w:style w:type="character" w:customStyle="1" w:styleId="aff1">
    <w:name w:val="Абзац списка Знак"/>
    <w:aliases w:val="Цветной список - Акцент 11 Знак,Bullet List Знак,FooterText Знак,numbered Знак,ПС - Нумерованный Знак"/>
    <w:link w:val="aff0"/>
    <w:uiPriority w:val="34"/>
    <w:rsid w:val="00675477"/>
    <w:rPr>
      <w:sz w:val="26"/>
    </w:rPr>
  </w:style>
  <w:style w:type="table" w:customStyle="1" w:styleId="TableStyle1">
    <w:name w:val="TableStyle1"/>
    <w:rsid w:val="00CE0584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E0584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E0584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E0584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CE0584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CE0584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CE0584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Unresolved Mention"/>
    <w:basedOn w:val="a3"/>
    <w:uiPriority w:val="99"/>
    <w:semiHidden/>
    <w:unhideWhenUsed/>
    <w:rsid w:val="005B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bubyakina@yar.tns-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ick.etpgp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B094-102F-4B2F-AC6B-91582E71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7873</CharactersWithSpaces>
  <SharedDoc>false</SharedDoc>
  <HLinks>
    <vt:vector size="12" baseType="variant">
      <vt:variant>
        <vt:i4>1966088</vt:i4>
      </vt:variant>
      <vt:variant>
        <vt:i4>3</vt:i4>
      </vt:variant>
      <vt:variant>
        <vt:i4>0</vt:i4>
      </vt:variant>
      <vt:variant>
        <vt:i4>5</vt:i4>
      </vt:variant>
      <vt:variant>
        <vt:lpwstr>https://yar.tns-e.ru/population/</vt:lpwstr>
      </vt:variant>
      <vt:variant>
        <vt:lpwstr/>
      </vt:variant>
      <vt:variant>
        <vt:i4>8126533</vt:i4>
      </vt:variant>
      <vt:variant>
        <vt:i4>0</vt:i4>
      </vt:variant>
      <vt:variant>
        <vt:i4>0</vt:i4>
      </vt:variant>
      <vt:variant>
        <vt:i4>5</vt:i4>
      </vt:variant>
      <vt:variant>
        <vt:lpwstr>mailto:kmn@yar.tns-e.ru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Бубякина Юлия Михайловна</dc:creator>
  <cp:keywords/>
  <dc:description/>
  <cp:lastModifiedBy>Бубякина Юлия Михайловна</cp:lastModifiedBy>
  <cp:revision>5</cp:revision>
  <cp:lastPrinted>2019-07-05T11:09:00Z</cp:lastPrinted>
  <dcterms:created xsi:type="dcterms:W3CDTF">2024-05-03T08:20:00Z</dcterms:created>
  <dcterms:modified xsi:type="dcterms:W3CDTF">2025-06-27T05:42:00Z</dcterms:modified>
</cp:coreProperties>
</file>